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F9840">
      <w:pPr>
        <w:pStyle w:val="142"/>
        <w:ind w:firstLine="0" w:firstLineChars="0"/>
        <w:jc w:val="center"/>
        <w:rPr>
          <w:i w:val="0"/>
          <w:iCs w:val="0"/>
          <w:color w:val="auto"/>
          <w:sz w:val="21"/>
          <w:szCs w:val="15"/>
          <w:highlight w:val="none"/>
        </w:rPr>
      </w:pPr>
      <w:r>
        <w:rPr>
          <w:rFonts w:hint="eastAsia"/>
          <w:i w:val="0"/>
          <w:iCs w:val="0"/>
          <w:color w:val="auto"/>
          <w:sz w:val="21"/>
          <w:szCs w:val="15"/>
          <w:highlight w:val="none"/>
        </w:rPr>
        <w:t>目录</w:t>
      </w:r>
    </w:p>
    <w:p w14:paraId="6F8A1101">
      <w:pPr>
        <w:pStyle w:val="59"/>
        <w:tabs>
          <w:tab w:val="right" w:leader="dot" w:pos="8743"/>
          <w:tab w:val="clear" w:pos="560"/>
          <w:tab w:val="clear" w:pos="8733"/>
        </w:tabs>
      </w:pPr>
      <w:r>
        <w:rPr>
          <w:i w:val="0"/>
          <w:iCs w:val="0"/>
          <w:color w:val="auto"/>
          <w:sz w:val="21"/>
          <w:szCs w:val="21"/>
          <w:highlight w:val="none"/>
        </w:rPr>
        <w:fldChar w:fldCharType="begin"/>
      </w:r>
      <w:r>
        <w:rPr>
          <w:i w:val="0"/>
          <w:iCs w:val="0"/>
          <w:color w:val="auto"/>
          <w:sz w:val="21"/>
          <w:szCs w:val="21"/>
          <w:highlight w:val="none"/>
        </w:rPr>
        <w:instrText xml:space="preserve"> TOC \o "1-3" \h \z \u </w:instrText>
      </w:r>
      <w:r>
        <w:rPr>
          <w:i w:val="0"/>
          <w:iCs w:val="0"/>
          <w:color w:val="auto"/>
          <w:sz w:val="21"/>
          <w:szCs w:val="21"/>
          <w:highlight w:val="none"/>
        </w:rPr>
        <w:fldChar w:fldCharType="separate"/>
      </w:r>
      <w:r>
        <w:rPr>
          <w:i w:val="0"/>
          <w:iCs w:val="0"/>
          <w:color w:val="auto"/>
          <w:szCs w:val="21"/>
          <w:highlight w:val="none"/>
        </w:rPr>
        <w:fldChar w:fldCharType="begin"/>
      </w:r>
      <w:r>
        <w:rPr>
          <w:i w:val="0"/>
          <w:iCs w:val="0"/>
          <w:szCs w:val="21"/>
          <w:highlight w:val="none"/>
        </w:rPr>
        <w:instrText xml:space="preserve"> HYPERLINK \l _Toc10537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1. </w:t>
      </w:r>
      <w:r>
        <w:rPr>
          <w:rFonts w:hint="eastAsia"/>
          <w:i w:val="0"/>
          <w:iCs w:val="0"/>
          <w:szCs w:val="32"/>
          <w:highlight w:val="none"/>
        </w:rPr>
        <w:t>项目概述</w:t>
      </w:r>
      <w:r>
        <w:tab/>
      </w:r>
      <w:r>
        <w:fldChar w:fldCharType="begin"/>
      </w:r>
      <w:r>
        <w:instrText xml:space="preserve"> PAGEREF _Toc10537 \h </w:instrText>
      </w:r>
      <w:r>
        <w:fldChar w:fldCharType="separate"/>
      </w:r>
      <w:r>
        <w:t>1</w:t>
      </w:r>
      <w:r>
        <w:fldChar w:fldCharType="end"/>
      </w:r>
      <w:r>
        <w:rPr>
          <w:i w:val="0"/>
          <w:iCs w:val="0"/>
          <w:color w:val="auto"/>
          <w:szCs w:val="21"/>
          <w:highlight w:val="none"/>
        </w:rPr>
        <w:fldChar w:fldCharType="end"/>
      </w:r>
    </w:p>
    <w:p w14:paraId="224E966A">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_Toc2068 </w:instrText>
      </w:r>
      <w:r>
        <w:rPr>
          <w:i w:val="0"/>
          <w:iCs w:val="0"/>
          <w:szCs w:val="21"/>
          <w:highlight w:val="none"/>
        </w:rPr>
        <w:fldChar w:fldCharType="separate"/>
      </w:r>
      <w:r>
        <w:rPr>
          <w:rFonts w:hint="default" w:ascii="Arial" w:hAnsi="Arial" w:cs="Arial"/>
          <w:i w:val="0"/>
          <w:iCs w:val="0"/>
          <w:szCs w:val="24"/>
        </w:rPr>
        <w:t xml:space="preserve">1.1 </w:t>
      </w:r>
      <w:r>
        <w:rPr>
          <w:rFonts w:hint="eastAsia"/>
          <w:i w:val="0"/>
          <w:iCs w:val="0"/>
          <w:szCs w:val="21"/>
          <w:highlight w:val="none"/>
        </w:rPr>
        <w:t>工程概述</w:t>
      </w:r>
      <w:r>
        <w:tab/>
      </w:r>
      <w:r>
        <w:fldChar w:fldCharType="begin"/>
      </w:r>
      <w:r>
        <w:instrText xml:space="preserve"> PAGEREF _Toc2068 \h </w:instrText>
      </w:r>
      <w:r>
        <w:fldChar w:fldCharType="separate"/>
      </w:r>
      <w:r>
        <w:t>1</w:t>
      </w:r>
      <w:r>
        <w:fldChar w:fldCharType="end"/>
      </w:r>
      <w:r>
        <w:rPr>
          <w:i w:val="0"/>
          <w:iCs w:val="0"/>
          <w:color w:val="auto"/>
          <w:szCs w:val="21"/>
          <w:highlight w:val="none"/>
        </w:rPr>
        <w:fldChar w:fldCharType="end"/>
      </w:r>
    </w:p>
    <w:p w14:paraId="3DCDA335">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_Toc31312 </w:instrText>
      </w:r>
      <w:r>
        <w:rPr>
          <w:i w:val="0"/>
          <w:iCs w:val="0"/>
          <w:szCs w:val="21"/>
          <w:highlight w:val="none"/>
        </w:rPr>
        <w:fldChar w:fldCharType="separate"/>
      </w:r>
      <w:r>
        <w:rPr>
          <w:rFonts w:hint="default" w:ascii="Arial" w:hAnsi="Arial" w:cs="Arial"/>
          <w:i w:val="0"/>
          <w:iCs w:val="0"/>
          <w:szCs w:val="24"/>
        </w:rPr>
        <w:t xml:space="preserve">1.2 </w:t>
      </w:r>
      <w:r>
        <w:rPr>
          <w:rFonts w:hint="eastAsia"/>
          <w:i w:val="0"/>
          <w:iCs w:val="0"/>
          <w:szCs w:val="21"/>
          <w:highlight w:val="none"/>
        </w:rPr>
        <w:t>项目范围</w:t>
      </w:r>
      <w:r>
        <w:tab/>
      </w:r>
      <w:r>
        <w:fldChar w:fldCharType="begin"/>
      </w:r>
      <w:r>
        <w:instrText xml:space="preserve"> PAGEREF _Toc31312 \h </w:instrText>
      </w:r>
      <w:r>
        <w:fldChar w:fldCharType="separate"/>
      </w:r>
      <w:r>
        <w:t>1</w:t>
      </w:r>
      <w:r>
        <w:fldChar w:fldCharType="end"/>
      </w:r>
      <w:r>
        <w:rPr>
          <w:i w:val="0"/>
          <w:iCs w:val="0"/>
          <w:color w:val="auto"/>
          <w:szCs w:val="21"/>
          <w:highlight w:val="none"/>
        </w:rPr>
        <w:fldChar w:fldCharType="end"/>
      </w:r>
    </w:p>
    <w:p w14:paraId="5E0C720D">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_Toc10258 </w:instrText>
      </w:r>
      <w:r>
        <w:rPr>
          <w:i w:val="0"/>
          <w:iCs w:val="0"/>
          <w:szCs w:val="21"/>
          <w:highlight w:val="none"/>
        </w:rPr>
        <w:fldChar w:fldCharType="separate"/>
      </w:r>
      <w:r>
        <w:rPr>
          <w:rFonts w:hint="default" w:ascii="Arial" w:hAnsi="Arial" w:cs="Arial"/>
          <w:i w:val="0"/>
          <w:iCs w:val="0"/>
          <w:szCs w:val="24"/>
        </w:rPr>
        <w:t xml:space="preserve">1.3 </w:t>
      </w:r>
      <w:r>
        <w:rPr>
          <w:rFonts w:hint="eastAsia"/>
          <w:i w:val="0"/>
          <w:iCs w:val="0"/>
          <w:szCs w:val="21"/>
          <w:highlight w:val="none"/>
        </w:rPr>
        <w:t>智慧地铁涉及既有系统目前建设情况</w:t>
      </w:r>
      <w:r>
        <w:tab/>
      </w:r>
      <w:r>
        <w:fldChar w:fldCharType="begin"/>
      </w:r>
      <w:r>
        <w:instrText xml:space="preserve"> PAGEREF _Toc10258 \h </w:instrText>
      </w:r>
      <w:r>
        <w:fldChar w:fldCharType="separate"/>
      </w:r>
      <w:r>
        <w:t>2</w:t>
      </w:r>
      <w:r>
        <w:fldChar w:fldCharType="end"/>
      </w:r>
      <w:r>
        <w:rPr>
          <w:i w:val="0"/>
          <w:iCs w:val="0"/>
          <w:color w:val="auto"/>
          <w:szCs w:val="21"/>
          <w:highlight w:val="none"/>
        </w:rPr>
        <w:fldChar w:fldCharType="end"/>
      </w:r>
    </w:p>
    <w:p w14:paraId="39EAE88B">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_Toc15639 </w:instrText>
      </w:r>
      <w:r>
        <w:rPr>
          <w:i w:val="0"/>
          <w:iCs w:val="0"/>
          <w:szCs w:val="21"/>
          <w:highlight w:val="none"/>
        </w:rPr>
        <w:fldChar w:fldCharType="separate"/>
      </w:r>
      <w:r>
        <w:rPr>
          <w:rFonts w:hint="default" w:ascii="Arial" w:hAnsi="Arial" w:cs="Arial"/>
          <w:i w:val="0"/>
          <w:iCs w:val="0"/>
          <w:szCs w:val="22"/>
        </w:rPr>
        <w:t xml:space="preserve">1.3.1 </w:t>
      </w:r>
      <w:r>
        <w:rPr>
          <w:rFonts w:hint="eastAsia"/>
          <w:i w:val="0"/>
          <w:iCs w:val="0"/>
          <w:szCs w:val="22"/>
          <w:highlight w:val="none"/>
        </w:rPr>
        <w:t>既有综合监控系统情况</w:t>
      </w:r>
      <w:r>
        <w:tab/>
      </w:r>
      <w:r>
        <w:fldChar w:fldCharType="begin"/>
      </w:r>
      <w:r>
        <w:instrText xml:space="preserve"> PAGEREF _Toc15639 \h </w:instrText>
      </w:r>
      <w:r>
        <w:fldChar w:fldCharType="separate"/>
      </w:r>
      <w:r>
        <w:t>2</w:t>
      </w:r>
      <w:r>
        <w:fldChar w:fldCharType="end"/>
      </w:r>
      <w:r>
        <w:rPr>
          <w:i w:val="0"/>
          <w:iCs w:val="0"/>
          <w:color w:val="auto"/>
          <w:szCs w:val="21"/>
          <w:highlight w:val="none"/>
        </w:rPr>
        <w:fldChar w:fldCharType="end"/>
      </w:r>
    </w:p>
    <w:p w14:paraId="11727EED">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_Toc24600 </w:instrText>
      </w:r>
      <w:r>
        <w:rPr>
          <w:i w:val="0"/>
          <w:iCs w:val="0"/>
          <w:szCs w:val="21"/>
          <w:highlight w:val="none"/>
        </w:rPr>
        <w:fldChar w:fldCharType="separate"/>
      </w:r>
      <w:r>
        <w:rPr>
          <w:rFonts w:hint="default" w:ascii="Arial" w:hAnsi="Arial" w:cs="Arial"/>
          <w:i w:val="0"/>
          <w:iCs w:val="0"/>
          <w:szCs w:val="22"/>
        </w:rPr>
        <w:t xml:space="preserve">1.3.2 </w:t>
      </w:r>
      <w:r>
        <w:rPr>
          <w:rFonts w:hint="eastAsia"/>
          <w:i w:val="0"/>
          <w:iCs w:val="0"/>
          <w:szCs w:val="22"/>
          <w:highlight w:val="none"/>
        </w:rPr>
        <w:t>既有</w:t>
      </w:r>
      <w:r>
        <w:rPr>
          <w:rFonts w:hint="eastAsia"/>
          <w:i w:val="0"/>
          <w:iCs w:val="0"/>
          <w:szCs w:val="22"/>
          <w:highlight w:val="none"/>
          <w:lang w:val="en-US"/>
        </w:rPr>
        <w:t>FAS、ACS</w:t>
      </w:r>
      <w:r>
        <w:rPr>
          <w:rFonts w:hint="eastAsia"/>
          <w:i w:val="0"/>
          <w:iCs w:val="0"/>
          <w:szCs w:val="22"/>
          <w:highlight w:val="none"/>
        </w:rPr>
        <w:t>系统情况</w:t>
      </w:r>
      <w:r>
        <w:tab/>
      </w:r>
      <w:r>
        <w:fldChar w:fldCharType="begin"/>
      </w:r>
      <w:r>
        <w:instrText xml:space="preserve"> PAGEREF _Toc24600 \h </w:instrText>
      </w:r>
      <w:r>
        <w:fldChar w:fldCharType="separate"/>
      </w:r>
      <w:r>
        <w:t>3</w:t>
      </w:r>
      <w:r>
        <w:fldChar w:fldCharType="end"/>
      </w:r>
      <w:r>
        <w:rPr>
          <w:i w:val="0"/>
          <w:iCs w:val="0"/>
          <w:color w:val="auto"/>
          <w:szCs w:val="21"/>
          <w:highlight w:val="none"/>
        </w:rPr>
        <w:fldChar w:fldCharType="end"/>
      </w:r>
    </w:p>
    <w:p w14:paraId="363F5780">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_Toc23061 </w:instrText>
      </w:r>
      <w:r>
        <w:rPr>
          <w:i w:val="0"/>
          <w:iCs w:val="0"/>
          <w:szCs w:val="21"/>
          <w:highlight w:val="none"/>
        </w:rPr>
        <w:fldChar w:fldCharType="separate"/>
      </w:r>
      <w:r>
        <w:rPr>
          <w:rFonts w:hint="default" w:ascii="Arial" w:hAnsi="Arial" w:cs="Arial"/>
          <w:i w:val="0"/>
          <w:iCs w:val="0"/>
          <w:szCs w:val="22"/>
        </w:rPr>
        <w:t xml:space="preserve">1.3.3 </w:t>
      </w:r>
      <w:r>
        <w:rPr>
          <w:rFonts w:hint="eastAsia"/>
          <w:i w:val="0"/>
          <w:iCs w:val="0"/>
          <w:szCs w:val="22"/>
          <w:highlight w:val="none"/>
        </w:rPr>
        <w:t>既有安检系统情况</w:t>
      </w:r>
      <w:r>
        <w:tab/>
      </w:r>
      <w:r>
        <w:fldChar w:fldCharType="begin"/>
      </w:r>
      <w:r>
        <w:instrText xml:space="preserve"> PAGEREF _Toc23061 \h </w:instrText>
      </w:r>
      <w:r>
        <w:fldChar w:fldCharType="separate"/>
      </w:r>
      <w:r>
        <w:t>3</w:t>
      </w:r>
      <w:r>
        <w:fldChar w:fldCharType="end"/>
      </w:r>
      <w:r>
        <w:rPr>
          <w:i w:val="0"/>
          <w:iCs w:val="0"/>
          <w:color w:val="auto"/>
          <w:szCs w:val="21"/>
          <w:highlight w:val="none"/>
        </w:rPr>
        <w:fldChar w:fldCharType="end"/>
      </w:r>
    </w:p>
    <w:p w14:paraId="35DB044F">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_Toc26516 </w:instrText>
      </w:r>
      <w:r>
        <w:rPr>
          <w:i w:val="0"/>
          <w:iCs w:val="0"/>
          <w:szCs w:val="21"/>
          <w:highlight w:val="none"/>
        </w:rPr>
        <w:fldChar w:fldCharType="separate"/>
      </w:r>
      <w:r>
        <w:rPr>
          <w:rFonts w:hint="default" w:ascii="Arial" w:hAnsi="Arial" w:cs="Arial"/>
          <w:i w:val="0"/>
          <w:iCs w:val="0"/>
          <w:szCs w:val="22"/>
        </w:rPr>
        <w:t xml:space="preserve">1.3.4 </w:t>
      </w:r>
      <w:r>
        <w:rPr>
          <w:rFonts w:hint="eastAsia"/>
          <w:i w:val="0"/>
          <w:iCs w:val="0"/>
          <w:szCs w:val="22"/>
          <w:highlight w:val="none"/>
        </w:rPr>
        <w:t>既有视频监控系统情况</w:t>
      </w:r>
      <w:r>
        <w:tab/>
      </w:r>
      <w:r>
        <w:fldChar w:fldCharType="begin"/>
      </w:r>
      <w:r>
        <w:instrText xml:space="preserve"> PAGEREF _Toc26516 \h </w:instrText>
      </w:r>
      <w:r>
        <w:fldChar w:fldCharType="separate"/>
      </w:r>
      <w:r>
        <w:t>3</w:t>
      </w:r>
      <w:r>
        <w:fldChar w:fldCharType="end"/>
      </w:r>
      <w:r>
        <w:rPr>
          <w:i w:val="0"/>
          <w:iCs w:val="0"/>
          <w:color w:val="auto"/>
          <w:szCs w:val="21"/>
          <w:highlight w:val="none"/>
        </w:rPr>
        <w:fldChar w:fldCharType="end"/>
      </w:r>
    </w:p>
    <w:p w14:paraId="4032C275">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_Toc8040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2. </w:t>
      </w:r>
      <w:r>
        <w:rPr>
          <w:rFonts w:hint="eastAsia"/>
          <w:i w:val="0"/>
          <w:iCs w:val="0"/>
          <w:szCs w:val="32"/>
          <w:highlight w:val="none"/>
        </w:rPr>
        <w:t>总则</w:t>
      </w:r>
      <w:r>
        <w:tab/>
      </w:r>
      <w:r>
        <w:fldChar w:fldCharType="begin"/>
      </w:r>
      <w:r>
        <w:instrText xml:space="preserve"> PAGEREF _Toc8040 \h </w:instrText>
      </w:r>
      <w:r>
        <w:fldChar w:fldCharType="separate"/>
      </w:r>
      <w:r>
        <w:t>4</w:t>
      </w:r>
      <w:r>
        <w:fldChar w:fldCharType="end"/>
      </w:r>
      <w:r>
        <w:rPr>
          <w:i w:val="0"/>
          <w:iCs w:val="0"/>
          <w:color w:val="auto"/>
          <w:szCs w:val="21"/>
          <w:highlight w:val="none"/>
        </w:rPr>
        <w:fldChar w:fldCharType="end"/>
      </w:r>
    </w:p>
    <w:p w14:paraId="1EFCE8A5">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_Toc7912 </w:instrText>
      </w:r>
      <w:r>
        <w:rPr>
          <w:i w:val="0"/>
          <w:iCs w:val="0"/>
          <w:szCs w:val="21"/>
          <w:highlight w:val="none"/>
        </w:rPr>
        <w:fldChar w:fldCharType="separate"/>
      </w:r>
      <w:r>
        <w:rPr>
          <w:rFonts w:hint="default" w:ascii="Arial" w:hAnsi="Arial" w:cs="Arial"/>
          <w:i w:val="0"/>
          <w:iCs w:val="0"/>
          <w:szCs w:val="24"/>
        </w:rPr>
        <w:t xml:space="preserve">2.1 </w:t>
      </w:r>
      <w:r>
        <w:rPr>
          <w:rFonts w:hint="eastAsia"/>
          <w:i w:val="0"/>
          <w:iCs w:val="0"/>
          <w:szCs w:val="21"/>
          <w:highlight w:val="none"/>
        </w:rPr>
        <w:t>总体要求</w:t>
      </w:r>
      <w:r>
        <w:tab/>
      </w:r>
      <w:r>
        <w:fldChar w:fldCharType="begin"/>
      </w:r>
      <w:r>
        <w:instrText xml:space="preserve"> PAGEREF _Toc7912 \h </w:instrText>
      </w:r>
      <w:r>
        <w:fldChar w:fldCharType="separate"/>
      </w:r>
      <w:r>
        <w:t>4</w:t>
      </w:r>
      <w:r>
        <w:fldChar w:fldCharType="end"/>
      </w:r>
      <w:r>
        <w:rPr>
          <w:i w:val="0"/>
          <w:iCs w:val="0"/>
          <w:color w:val="auto"/>
          <w:szCs w:val="21"/>
          <w:highlight w:val="none"/>
        </w:rPr>
        <w:fldChar w:fldCharType="end"/>
      </w:r>
    </w:p>
    <w:p w14:paraId="59BFAAC6">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_Toc5027 </w:instrText>
      </w:r>
      <w:r>
        <w:rPr>
          <w:i w:val="0"/>
          <w:iCs w:val="0"/>
          <w:szCs w:val="21"/>
          <w:highlight w:val="none"/>
        </w:rPr>
        <w:fldChar w:fldCharType="separate"/>
      </w:r>
      <w:r>
        <w:rPr>
          <w:rFonts w:hint="default" w:ascii="Arial" w:hAnsi="Arial" w:cs="Arial"/>
          <w:i w:val="0"/>
          <w:iCs w:val="0"/>
          <w:szCs w:val="24"/>
        </w:rPr>
        <w:t xml:space="preserve">2.2 </w:t>
      </w:r>
      <w:r>
        <w:rPr>
          <w:rFonts w:hint="eastAsia"/>
          <w:i w:val="0"/>
          <w:iCs w:val="0"/>
          <w:szCs w:val="21"/>
          <w:highlight w:val="none"/>
        </w:rPr>
        <w:t>采用标准与规范</w:t>
      </w:r>
      <w:r>
        <w:tab/>
      </w:r>
      <w:r>
        <w:fldChar w:fldCharType="begin"/>
      </w:r>
      <w:r>
        <w:instrText xml:space="preserve"> PAGEREF _Toc5027 \h </w:instrText>
      </w:r>
      <w:r>
        <w:fldChar w:fldCharType="separate"/>
      </w:r>
      <w:r>
        <w:t>4</w:t>
      </w:r>
      <w:r>
        <w:fldChar w:fldCharType="end"/>
      </w:r>
      <w:r>
        <w:rPr>
          <w:i w:val="0"/>
          <w:iCs w:val="0"/>
          <w:color w:val="auto"/>
          <w:szCs w:val="21"/>
          <w:highlight w:val="none"/>
        </w:rPr>
        <w:fldChar w:fldCharType="end"/>
      </w:r>
    </w:p>
    <w:p w14:paraId="722896AF">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_Toc25392 </w:instrText>
      </w:r>
      <w:r>
        <w:rPr>
          <w:i w:val="0"/>
          <w:iCs w:val="0"/>
          <w:szCs w:val="21"/>
          <w:highlight w:val="none"/>
        </w:rPr>
        <w:fldChar w:fldCharType="separate"/>
      </w:r>
      <w:r>
        <w:rPr>
          <w:rFonts w:hint="default" w:ascii="Arial" w:hAnsi="Arial" w:cs="Arial"/>
          <w:i w:val="0"/>
          <w:iCs w:val="0"/>
          <w:szCs w:val="24"/>
        </w:rPr>
        <w:t xml:space="preserve">2.3 </w:t>
      </w:r>
      <w:r>
        <w:rPr>
          <w:rFonts w:hint="eastAsia"/>
          <w:i w:val="0"/>
          <w:iCs w:val="0"/>
          <w:szCs w:val="21"/>
          <w:highlight w:val="none"/>
        </w:rPr>
        <w:t>施工边界</w:t>
      </w:r>
      <w:r>
        <w:tab/>
      </w:r>
      <w:r>
        <w:fldChar w:fldCharType="begin"/>
      </w:r>
      <w:r>
        <w:instrText xml:space="preserve"> PAGEREF _Toc25392 \h </w:instrText>
      </w:r>
      <w:r>
        <w:fldChar w:fldCharType="separate"/>
      </w:r>
      <w:r>
        <w:t>6</w:t>
      </w:r>
      <w:r>
        <w:fldChar w:fldCharType="end"/>
      </w:r>
      <w:r>
        <w:rPr>
          <w:i w:val="0"/>
          <w:iCs w:val="0"/>
          <w:color w:val="auto"/>
          <w:szCs w:val="21"/>
          <w:highlight w:val="none"/>
        </w:rPr>
        <w:fldChar w:fldCharType="end"/>
      </w:r>
    </w:p>
    <w:p w14:paraId="58EB823E">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_Toc5372 </w:instrText>
      </w:r>
      <w:r>
        <w:rPr>
          <w:i w:val="0"/>
          <w:iCs w:val="0"/>
          <w:szCs w:val="21"/>
          <w:highlight w:val="none"/>
        </w:rPr>
        <w:fldChar w:fldCharType="separate"/>
      </w:r>
      <w:r>
        <w:rPr>
          <w:rFonts w:hint="default" w:ascii="Arial" w:hAnsi="Arial" w:cs="Arial"/>
          <w:i w:val="0"/>
          <w:iCs w:val="0"/>
          <w:szCs w:val="24"/>
        </w:rPr>
        <w:t xml:space="preserve">2.4 </w:t>
      </w:r>
      <w:r>
        <w:rPr>
          <w:rFonts w:hint="eastAsia"/>
          <w:i w:val="0"/>
          <w:iCs w:val="0"/>
          <w:szCs w:val="21"/>
          <w:highlight w:val="none"/>
        </w:rPr>
        <w:t>环境气候条件</w:t>
      </w:r>
      <w:r>
        <w:tab/>
      </w:r>
      <w:r>
        <w:fldChar w:fldCharType="begin"/>
      </w:r>
      <w:r>
        <w:instrText xml:space="preserve"> PAGEREF _Toc5372 \h </w:instrText>
      </w:r>
      <w:r>
        <w:fldChar w:fldCharType="separate"/>
      </w:r>
      <w:r>
        <w:t>6</w:t>
      </w:r>
      <w:r>
        <w:fldChar w:fldCharType="end"/>
      </w:r>
      <w:r>
        <w:rPr>
          <w:i w:val="0"/>
          <w:iCs w:val="0"/>
          <w:color w:val="auto"/>
          <w:szCs w:val="21"/>
          <w:highlight w:val="none"/>
        </w:rPr>
        <w:fldChar w:fldCharType="end"/>
      </w:r>
    </w:p>
    <w:p w14:paraId="770BEF86">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_Toc24875 </w:instrText>
      </w:r>
      <w:r>
        <w:rPr>
          <w:i w:val="0"/>
          <w:iCs w:val="0"/>
          <w:szCs w:val="21"/>
          <w:highlight w:val="none"/>
        </w:rPr>
        <w:fldChar w:fldCharType="separate"/>
      </w:r>
      <w:r>
        <w:rPr>
          <w:rFonts w:hint="default" w:ascii="Arial" w:hAnsi="Arial" w:cs="Arial"/>
          <w:i w:val="0"/>
          <w:iCs w:val="0"/>
          <w:szCs w:val="24"/>
        </w:rPr>
        <w:t xml:space="preserve">2.5 </w:t>
      </w:r>
      <w:r>
        <w:rPr>
          <w:rFonts w:hint="eastAsia"/>
          <w:i w:val="0"/>
          <w:iCs w:val="0"/>
          <w:szCs w:val="21"/>
          <w:highlight w:val="none"/>
        </w:rPr>
        <w:t>工作环境要求</w:t>
      </w:r>
      <w:r>
        <w:tab/>
      </w:r>
      <w:r>
        <w:fldChar w:fldCharType="begin"/>
      </w:r>
      <w:r>
        <w:instrText xml:space="preserve"> PAGEREF _Toc24875 \h </w:instrText>
      </w:r>
      <w:r>
        <w:fldChar w:fldCharType="separate"/>
      </w:r>
      <w:r>
        <w:t>7</w:t>
      </w:r>
      <w:r>
        <w:fldChar w:fldCharType="end"/>
      </w:r>
      <w:r>
        <w:rPr>
          <w:i w:val="0"/>
          <w:iCs w:val="0"/>
          <w:color w:val="auto"/>
          <w:szCs w:val="21"/>
          <w:highlight w:val="none"/>
        </w:rPr>
        <w:fldChar w:fldCharType="end"/>
      </w:r>
    </w:p>
    <w:p w14:paraId="54BBD240">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_Toc20242 </w:instrText>
      </w:r>
      <w:r>
        <w:rPr>
          <w:i w:val="0"/>
          <w:iCs w:val="0"/>
          <w:szCs w:val="21"/>
          <w:highlight w:val="none"/>
        </w:rPr>
        <w:fldChar w:fldCharType="separate"/>
      </w:r>
      <w:r>
        <w:rPr>
          <w:rFonts w:hint="default" w:ascii="Arial" w:hAnsi="Arial" w:cs="Arial"/>
          <w:i w:val="0"/>
          <w:iCs w:val="0"/>
          <w:szCs w:val="24"/>
        </w:rPr>
        <w:t xml:space="preserve">2.6 </w:t>
      </w:r>
      <w:r>
        <w:rPr>
          <w:rFonts w:hint="eastAsia"/>
          <w:i w:val="0"/>
          <w:iCs w:val="0"/>
          <w:szCs w:val="21"/>
          <w:highlight w:val="none"/>
        </w:rPr>
        <w:t>地震烈度</w:t>
      </w:r>
      <w:r>
        <w:tab/>
      </w:r>
      <w:r>
        <w:fldChar w:fldCharType="begin"/>
      </w:r>
      <w:r>
        <w:instrText xml:space="preserve"> PAGEREF _Toc20242 \h </w:instrText>
      </w:r>
      <w:r>
        <w:fldChar w:fldCharType="separate"/>
      </w:r>
      <w:r>
        <w:t>7</w:t>
      </w:r>
      <w:r>
        <w:fldChar w:fldCharType="end"/>
      </w:r>
      <w:r>
        <w:rPr>
          <w:i w:val="0"/>
          <w:iCs w:val="0"/>
          <w:color w:val="auto"/>
          <w:szCs w:val="21"/>
          <w:highlight w:val="none"/>
        </w:rPr>
        <w:fldChar w:fldCharType="end"/>
      </w:r>
    </w:p>
    <w:p w14:paraId="1C8E9C3E">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_Toc26738 </w:instrText>
      </w:r>
      <w:r>
        <w:rPr>
          <w:i w:val="0"/>
          <w:iCs w:val="0"/>
          <w:szCs w:val="21"/>
          <w:highlight w:val="none"/>
        </w:rPr>
        <w:fldChar w:fldCharType="separate"/>
      </w:r>
      <w:r>
        <w:rPr>
          <w:rFonts w:hint="default" w:ascii="Arial" w:hAnsi="Arial" w:cs="Arial"/>
          <w:i w:val="0"/>
          <w:iCs w:val="0"/>
          <w:szCs w:val="24"/>
        </w:rPr>
        <w:t xml:space="preserve">2.7 </w:t>
      </w:r>
      <w:r>
        <w:rPr>
          <w:rFonts w:hint="eastAsia"/>
          <w:i w:val="0"/>
          <w:iCs w:val="0"/>
          <w:szCs w:val="21"/>
          <w:highlight w:val="none"/>
        </w:rPr>
        <w:t>强电磁干扰环境</w:t>
      </w:r>
      <w:r>
        <w:tab/>
      </w:r>
      <w:r>
        <w:fldChar w:fldCharType="begin"/>
      </w:r>
      <w:r>
        <w:instrText xml:space="preserve"> PAGEREF _Toc26738 \h </w:instrText>
      </w:r>
      <w:r>
        <w:fldChar w:fldCharType="separate"/>
      </w:r>
      <w:r>
        <w:t>7</w:t>
      </w:r>
      <w:r>
        <w:fldChar w:fldCharType="end"/>
      </w:r>
      <w:r>
        <w:rPr>
          <w:i w:val="0"/>
          <w:iCs w:val="0"/>
          <w:color w:val="auto"/>
          <w:szCs w:val="21"/>
          <w:highlight w:val="none"/>
        </w:rPr>
        <w:fldChar w:fldCharType="end"/>
      </w:r>
    </w:p>
    <w:p w14:paraId="786B5CD9">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_Toc9158 </w:instrText>
      </w:r>
      <w:r>
        <w:rPr>
          <w:i w:val="0"/>
          <w:iCs w:val="0"/>
          <w:szCs w:val="21"/>
          <w:highlight w:val="none"/>
        </w:rPr>
        <w:fldChar w:fldCharType="separate"/>
      </w:r>
      <w:r>
        <w:rPr>
          <w:rFonts w:hint="default" w:ascii="Arial" w:hAnsi="Arial" w:cs="Arial"/>
          <w:i w:val="0"/>
          <w:iCs w:val="0"/>
          <w:szCs w:val="24"/>
          <w:lang w:val="zh-CN"/>
        </w:rPr>
        <w:t xml:space="preserve">2.8 </w:t>
      </w:r>
      <w:r>
        <w:rPr>
          <w:rFonts w:hint="eastAsia"/>
          <w:i w:val="0"/>
          <w:iCs w:val="0"/>
          <w:szCs w:val="21"/>
          <w:highlight w:val="none"/>
          <w:lang w:val="zh-CN"/>
        </w:rPr>
        <w:t>用词说明</w:t>
      </w:r>
      <w:r>
        <w:tab/>
      </w:r>
      <w:r>
        <w:fldChar w:fldCharType="begin"/>
      </w:r>
      <w:r>
        <w:instrText xml:space="preserve"> PAGEREF _Toc9158 \h </w:instrText>
      </w:r>
      <w:r>
        <w:fldChar w:fldCharType="separate"/>
      </w:r>
      <w:r>
        <w:t>7</w:t>
      </w:r>
      <w:r>
        <w:fldChar w:fldCharType="end"/>
      </w:r>
      <w:r>
        <w:rPr>
          <w:i w:val="0"/>
          <w:iCs w:val="0"/>
          <w:color w:val="auto"/>
          <w:szCs w:val="21"/>
          <w:highlight w:val="none"/>
        </w:rPr>
        <w:fldChar w:fldCharType="end"/>
      </w:r>
    </w:p>
    <w:p w14:paraId="021A8AEB">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_Toc2401 </w:instrText>
      </w:r>
      <w:r>
        <w:rPr>
          <w:i w:val="0"/>
          <w:iCs w:val="0"/>
          <w:szCs w:val="21"/>
          <w:highlight w:val="none"/>
        </w:rPr>
        <w:fldChar w:fldCharType="separate"/>
      </w:r>
      <w:r>
        <w:rPr>
          <w:rFonts w:hint="default" w:ascii="Arial" w:hAnsi="Arial" w:cs="Arial"/>
          <w:i w:val="0"/>
          <w:iCs w:val="0"/>
          <w:szCs w:val="24"/>
        </w:rPr>
        <w:t xml:space="preserve">2.9 </w:t>
      </w:r>
      <w:r>
        <w:rPr>
          <w:rFonts w:hint="eastAsia"/>
          <w:i w:val="0"/>
          <w:iCs w:val="0"/>
          <w:szCs w:val="21"/>
          <w:highlight w:val="none"/>
        </w:rPr>
        <w:t>基本要求</w:t>
      </w:r>
      <w:r>
        <w:tab/>
      </w:r>
      <w:r>
        <w:fldChar w:fldCharType="begin"/>
      </w:r>
      <w:r>
        <w:instrText xml:space="preserve"> PAGEREF _Toc2401 \h </w:instrText>
      </w:r>
      <w:r>
        <w:fldChar w:fldCharType="separate"/>
      </w:r>
      <w:r>
        <w:t>7</w:t>
      </w:r>
      <w:r>
        <w:fldChar w:fldCharType="end"/>
      </w:r>
      <w:r>
        <w:rPr>
          <w:i w:val="0"/>
          <w:iCs w:val="0"/>
          <w:color w:val="auto"/>
          <w:szCs w:val="21"/>
          <w:highlight w:val="none"/>
        </w:rPr>
        <w:fldChar w:fldCharType="end"/>
      </w:r>
    </w:p>
    <w:p w14:paraId="72484B9F">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_Toc18427 </w:instrText>
      </w:r>
      <w:r>
        <w:rPr>
          <w:i w:val="0"/>
          <w:iCs w:val="0"/>
          <w:szCs w:val="21"/>
          <w:highlight w:val="none"/>
        </w:rPr>
        <w:fldChar w:fldCharType="separate"/>
      </w:r>
      <w:r>
        <w:rPr>
          <w:rFonts w:hint="default" w:ascii="Arial" w:hAnsi="Arial" w:cs="Arial"/>
          <w:i w:val="0"/>
          <w:iCs w:val="0"/>
          <w:szCs w:val="24"/>
        </w:rPr>
        <w:t xml:space="preserve">2.10 </w:t>
      </w:r>
      <w:r>
        <w:rPr>
          <w:rFonts w:hint="eastAsia"/>
          <w:i w:val="0"/>
          <w:iCs w:val="0"/>
          <w:szCs w:val="21"/>
          <w:highlight w:val="none"/>
        </w:rPr>
        <w:t>符号说明和缩写定义</w:t>
      </w:r>
      <w:r>
        <w:tab/>
      </w:r>
      <w:r>
        <w:fldChar w:fldCharType="begin"/>
      </w:r>
      <w:r>
        <w:instrText xml:space="preserve"> PAGEREF _Toc18427 \h </w:instrText>
      </w:r>
      <w:r>
        <w:fldChar w:fldCharType="separate"/>
      </w:r>
      <w:r>
        <w:t>9</w:t>
      </w:r>
      <w:r>
        <w:fldChar w:fldCharType="end"/>
      </w:r>
      <w:r>
        <w:rPr>
          <w:i w:val="0"/>
          <w:iCs w:val="0"/>
          <w:color w:val="auto"/>
          <w:szCs w:val="21"/>
          <w:highlight w:val="none"/>
        </w:rPr>
        <w:fldChar w:fldCharType="end"/>
      </w:r>
    </w:p>
    <w:p w14:paraId="1A38087D">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_Toc23394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3. </w:t>
      </w:r>
      <w:r>
        <w:rPr>
          <w:rFonts w:hint="eastAsia"/>
          <w:i w:val="0"/>
          <w:iCs w:val="0"/>
          <w:szCs w:val="32"/>
          <w:highlight w:val="none"/>
        </w:rPr>
        <w:t>系统通用要求</w:t>
      </w:r>
      <w:r>
        <w:tab/>
      </w:r>
      <w:r>
        <w:fldChar w:fldCharType="begin"/>
      </w:r>
      <w:r>
        <w:instrText xml:space="preserve"> PAGEREF _Toc23394 \h </w:instrText>
      </w:r>
      <w:r>
        <w:fldChar w:fldCharType="separate"/>
      </w:r>
      <w:r>
        <w:t>11</w:t>
      </w:r>
      <w:r>
        <w:fldChar w:fldCharType="end"/>
      </w:r>
      <w:r>
        <w:rPr>
          <w:i w:val="0"/>
          <w:iCs w:val="0"/>
          <w:color w:val="auto"/>
          <w:szCs w:val="21"/>
          <w:highlight w:val="none"/>
        </w:rPr>
        <w:fldChar w:fldCharType="end"/>
      </w:r>
    </w:p>
    <w:p w14:paraId="14B9A25A">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_Toc6969 </w:instrText>
      </w:r>
      <w:r>
        <w:rPr>
          <w:i w:val="0"/>
          <w:iCs w:val="0"/>
          <w:szCs w:val="21"/>
          <w:highlight w:val="none"/>
        </w:rPr>
        <w:fldChar w:fldCharType="separate"/>
      </w:r>
      <w:r>
        <w:rPr>
          <w:rFonts w:hint="default" w:ascii="Arial" w:hAnsi="Arial" w:cs="Arial"/>
          <w:i w:val="0"/>
          <w:iCs w:val="0"/>
          <w:szCs w:val="24"/>
        </w:rPr>
        <w:t xml:space="preserve">3.1 </w:t>
      </w:r>
      <w:r>
        <w:rPr>
          <w:rFonts w:hint="eastAsia"/>
          <w:i w:val="0"/>
          <w:iCs w:val="0"/>
          <w:szCs w:val="21"/>
          <w:highlight w:val="none"/>
        </w:rPr>
        <w:t>系统设备的基本要求</w:t>
      </w:r>
      <w:r>
        <w:tab/>
      </w:r>
      <w:r>
        <w:fldChar w:fldCharType="begin"/>
      </w:r>
      <w:r>
        <w:instrText xml:space="preserve"> PAGEREF _Toc6969 \h </w:instrText>
      </w:r>
      <w:r>
        <w:fldChar w:fldCharType="separate"/>
      </w:r>
      <w:r>
        <w:t>11</w:t>
      </w:r>
      <w:r>
        <w:fldChar w:fldCharType="end"/>
      </w:r>
      <w:r>
        <w:rPr>
          <w:i w:val="0"/>
          <w:iCs w:val="0"/>
          <w:color w:val="auto"/>
          <w:szCs w:val="21"/>
          <w:highlight w:val="none"/>
        </w:rPr>
        <w:fldChar w:fldCharType="end"/>
      </w:r>
    </w:p>
    <w:p w14:paraId="79A20874">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_Toc30334 </w:instrText>
      </w:r>
      <w:r>
        <w:rPr>
          <w:i w:val="0"/>
          <w:iCs w:val="0"/>
          <w:szCs w:val="21"/>
          <w:highlight w:val="none"/>
        </w:rPr>
        <w:fldChar w:fldCharType="separate"/>
      </w:r>
      <w:r>
        <w:rPr>
          <w:rFonts w:hint="default" w:ascii="Arial" w:hAnsi="Arial" w:cs="Arial"/>
          <w:i w:val="0"/>
          <w:iCs w:val="0"/>
          <w:szCs w:val="24"/>
        </w:rPr>
        <w:t xml:space="preserve">3.2 </w:t>
      </w:r>
      <w:r>
        <w:rPr>
          <w:rFonts w:hint="eastAsia"/>
          <w:i w:val="0"/>
          <w:iCs w:val="0"/>
          <w:szCs w:val="21"/>
          <w:highlight w:val="none"/>
        </w:rPr>
        <w:t>基本性能</w:t>
      </w:r>
      <w:r>
        <w:tab/>
      </w:r>
      <w:r>
        <w:fldChar w:fldCharType="begin"/>
      </w:r>
      <w:r>
        <w:instrText xml:space="preserve"> PAGEREF _Toc30334 \h </w:instrText>
      </w:r>
      <w:r>
        <w:fldChar w:fldCharType="separate"/>
      </w:r>
      <w:r>
        <w:t>11</w:t>
      </w:r>
      <w:r>
        <w:fldChar w:fldCharType="end"/>
      </w:r>
      <w:r>
        <w:rPr>
          <w:i w:val="0"/>
          <w:iCs w:val="0"/>
          <w:color w:val="auto"/>
          <w:szCs w:val="21"/>
          <w:highlight w:val="none"/>
        </w:rPr>
        <w:fldChar w:fldCharType="end"/>
      </w:r>
    </w:p>
    <w:p w14:paraId="34598B26">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_Toc14727 </w:instrText>
      </w:r>
      <w:r>
        <w:rPr>
          <w:i w:val="0"/>
          <w:iCs w:val="0"/>
          <w:szCs w:val="21"/>
          <w:highlight w:val="none"/>
        </w:rPr>
        <w:fldChar w:fldCharType="separate"/>
      </w:r>
      <w:r>
        <w:rPr>
          <w:rFonts w:hint="default" w:ascii="Arial" w:hAnsi="Arial" w:cs="Arial"/>
          <w:i w:val="0"/>
          <w:iCs w:val="0"/>
          <w:szCs w:val="24"/>
        </w:rPr>
        <w:t xml:space="preserve">3.3 </w:t>
      </w:r>
      <w:r>
        <w:rPr>
          <w:rFonts w:hint="eastAsia"/>
          <w:i w:val="0"/>
          <w:iCs w:val="0"/>
          <w:szCs w:val="21"/>
          <w:highlight w:val="none"/>
        </w:rPr>
        <w:t>产品要求</w:t>
      </w:r>
      <w:r>
        <w:tab/>
      </w:r>
      <w:r>
        <w:fldChar w:fldCharType="begin"/>
      </w:r>
      <w:r>
        <w:instrText xml:space="preserve"> PAGEREF _Toc14727 \h </w:instrText>
      </w:r>
      <w:r>
        <w:fldChar w:fldCharType="separate"/>
      </w:r>
      <w:r>
        <w:t>11</w:t>
      </w:r>
      <w:r>
        <w:fldChar w:fldCharType="end"/>
      </w:r>
      <w:r>
        <w:rPr>
          <w:i w:val="0"/>
          <w:iCs w:val="0"/>
          <w:color w:val="auto"/>
          <w:szCs w:val="21"/>
          <w:highlight w:val="none"/>
        </w:rPr>
        <w:fldChar w:fldCharType="end"/>
      </w:r>
    </w:p>
    <w:p w14:paraId="1ACD94B7">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_Toc16975 </w:instrText>
      </w:r>
      <w:r>
        <w:rPr>
          <w:i w:val="0"/>
          <w:iCs w:val="0"/>
          <w:szCs w:val="21"/>
          <w:highlight w:val="none"/>
        </w:rPr>
        <w:fldChar w:fldCharType="separate"/>
      </w:r>
      <w:r>
        <w:rPr>
          <w:rFonts w:hint="default" w:ascii="Arial" w:hAnsi="Arial" w:cs="Arial"/>
          <w:i w:val="0"/>
          <w:iCs w:val="0"/>
          <w:szCs w:val="22"/>
        </w:rPr>
        <w:t xml:space="preserve">3.3.1 </w:t>
      </w:r>
      <w:r>
        <w:rPr>
          <w:rFonts w:hint="eastAsia"/>
          <w:i w:val="0"/>
          <w:iCs w:val="0"/>
          <w:szCs w:val="22"/>
          <w:highlight w:val="none"/>
        </w:rPr>
        <w:t>材料和工艺</w:t>
      </w:r>
      <w:r>
        <w:tab/>
      </w:r>
      <w:r>
        <w:fldChar w:fldCharType="begin"/>
      </w:r>
      <w:r>
        <w:instrText xml:space="preserve"> PAGEREF _Toc16975 \h </w:instrText>
      </w:r>
      <w:r>
        <w:fldChar w:fldCharType="separate"/>
      </w:r>
      <w:r>
        <w:t>12</w:t>
      </w:r>
      <w:r>
        <w:fldChar w:fldCharType="end"/>
      </w:r>
      <w:r>
        <w:rPr>
          <w:i w:val="0"/>
          <w:iCs w:val="0"/>
          <w:color w:val="auto"/>
          <w:szCs w:val="21"/>
          <w:highlight w:val="none"/>
        </w:rPr>
        <w:fldChar w:fldCharType="end"/>
      </w:r>
    </w:p>
    <w:p w14:paraId="1F873E76">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_Toc252 </w:instrText>
      </w:r>
      <w:r>
        <w:rPr>
          <w:i w:val="0"/>
          <w:iCs w:val="0"/>
          <w:szCs w:val="21"/>
          <w:highlight w:val="none"/>
        </w:rPr>
        <w:fldChar w:fldCharType="separate"/>
      </w:r>
      <w:r>
        <w:rPr>
          <w:rFonts w:hint="default" w:ascii="Arial" w:hAnsi="Arial" w:cs="Arial"/>
          <w:i w:val="0"/>
          <w:iCs w:val="0"/>
          <w:szCs w:val="22"/>
        </w:rPr>
        <w:t xml:space="preserve">3.3.2 </w:t>
      </w:r>
      <w:r>
        <w:rPr>
          <w:rFonts w:hint="eastAsia"/>
          <w:i w:val="0"/>
          <w:iCs w:val="0"/>
          <w:szCs w:val="22"/>
          <w:highlight w:val="none"/>
        </w:rPr>
        <w:t>部件的可互换性和标准化</w:t>
      </w:r>
      <w:r>
        <w:tab/>
      </w:r>
      <w:r>
        <w:fldChar w:fldCharType="begin"/>
      </w:r>
      <w:r>
        <w:instrText xml:space="preserve"> PAGEREF _Toc252 \h </w:instrText>
      </w:r>
      <w:r>
        <w:fldChar w:fldCharType="separate"/>
      </w:r>
      <w:r>
        <w:t>12</w:t>
      </w:r>
      <w:r>
        <w:fldChar w:fldCharType="end"/>
      </w:r>
      <w:r>
        <w:rPr>
          <w:i w:val="0"/>
          <w:iCs w:val="0"/>
          <w:color w:val="auto"/>
          <w:szCs w:val="21"/>
          <w:highlight w:val="none"/>
        </w:rPr>
        <w:fldChar w:fldCharType="end"/>
      </w:r>
    </w:p>
    <w:p w14:paraId="26A93F21">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_Toc3543 </w:instrText>
      </w:r>
      <w:r>
        <w:rPr>
          <w:i w:val="0"/>
          <w:iCs w:val="0"/>
          <w:szCs w:val="21"/>
          <w:highlight w:val="none"/>
        </w:rPr>
        <w:fldChar w:fldCharType="separate"/>
      </w:r>
      <w:r>
        <w:rPr>
          <w:rFonts w:hint="default" w:ascii="Arial" w:hAnsi="Arial" w:cs="Arial"/>
          <w:i w:val="0"/>
          <w:iCs w:val="0"/>
          <w:szCs w:val="22"/>
        </w:rPr>
        <w:t xml:space="preserve">3.3.3 </w:t>
      </w:r>
      <w:r>
        <w:rPr>
          <w:rFonts w:hint="eastAsia"/>
          <w:i w:val="0"/>
          <w:iCs w:val="0"/>
          <w:szCs w:val="22"/>
          <w:highlight w:val="none"/>
        </w:rPr>
        <w:t>设备监测</w:t>
      </w:r>
      <w:r>
        <w:tab/>
      </w:r>
      <w:r>
        <w:fldChar w:fldCharType="begin"/>
      </w:r>
      <w:r>
        <w:instrText xml:space="preserve"> PAGEREF _Toc3543 \h </w:instrText>
      </w:r>
      <w:r>
        <w:fldChar w:fldCharType="separate"/>
      </w:r>
      <w:r>
        <w:t>12</w:t>
      </w:r>
      <w:r>
        <w:fldChar w:fldCharType="end"/>
      </w:r>
      <w:r>
        <w:rPr>
          <w:i w:val="0"/>
          <w:iCs w:val="0"/>
          <w:color w:val="auto"/>
          <w:szCs w:val="21"/>
          <w:highlight w:val="none"/>
        </w:rPr>
        <w:fldChar w:fldCharType="end"/>
      </w:r>
    </w:p>
    <w:p w14:paraId="2635C344">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_Toc20684 </w:instrText>
      </w:r>
      <w:r>
        <w:rPr>
          <w:i w:val="0"/>
          <w:iCs w:val="0"/>
          <w:szCs w:val="21"/>
          <w:highlight w:val="none"/>
        </w:rPr>
        <w:fldChar w:fldCharType="separate"/>
      </w:r>
      <w:r>
        <w:rPr>
          <w:rFonts w:hint="default" w:ascii="Arial" w:hAnsi="Arial" w:cs="Arial"/>
          <w:i w:val="0"/>
          <w:iCs w:val="0"/>
          <w:szCs w:val="22"/>
        </w:rPr>
        <w:t xml:space="preserve">3.3.4 </w:t>
      </w:r>
      <w:r>
        <w:rPr>
          <w:rFonts w:hint="eastAsia"/>
          <w:i w:val="0"/>
          <w:iCs w:val="0"/>
          <w:szCs w:val="22"/>
          <w:highlight w:val="none"/>
        </w:rPr>
        <w:t>设备设计</w:t>
      </w:r>
      <w:r>
        <w:tab/>
      </w:r>
      <w:r>
        <w:fldChar w:fldCharType="begin"/>
      </w:r>
      <w:r>
        <w:instrText xml:space="preserve"> PAGEREF _Toc20684 \h </w:instrText>
      </w:r>
      <w:r>
        <w:fldChar w:fldCharType="separate"/>
      </w:r>
      <w:r>
        <w:t>12</w:t>
      </w:r>
      <w:r>
        <w:fldChar w:fldCharType="end"/>
      </w:r>
      <w:r>
        <w:rPr>
          <w:i w:val="0"/>
          <w:iCs w:val="0"/>
          <w:color w:val="auto"/>
          <w:szCs w:val="21"/>
          <w:highlight w:val="none"/>
        </w:rPr>
        <w:fldChar w:fldCharType="end"/>
      </w:r>
    </w:p>
    <w:p w14:paraId="4B7A1264">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_Toc16075 </w:instrText>
      </w:r>
      <w:r>
        <w:rPr>
          <w:i w:val="0"/>
          <w:iCs w:val="0"/>
          <w:szCs w:val="21"/>
          <w:highlight w:val="none"/>
        </w:rPr>
        <w:fldChar w:fldCharType="separate"/>
      </w:r>
      <w:r>
        <w:rPr>
          <w:rFonts w:hint="default" w:ascii="Arial" w:hAnsi="Arial" w:cs="Arial"/>
          <w:i w:val="0"/>
          <w:iCs w:val="0"/>
          <w:szCs w:val="22"/>
        </w:rPr>
        <w:t xml:space="preserve">3.3.5 </w:t>
      </w:r>
      <w:r>
        <w:rPr>
          <w:rFonts w:hint="eastAsia"/>
          <w:i w:val="0"/>
          <w:iCs w:val="0"/>
          <w:szCs w:val="22"/>
          <w:highlight w:val="none"/>
        </w:rPr>
        <w:t>设备配件</w:t>
      </w:r>
      <w:r>
        <w:tab/>
      </w:r>
      <w:r>
        <w:fldChar w:fldCharType="begin"/>
      </w:r>
      <w:r>
        <w:instrText xml:space="preserve"> PAGEREF _Toc16075 \h </w:instrText>
      </w:r>
      <w:r>
        <w:fldChar w:fldCharType="separate"/>
      </w:r>
      <w:r>
        <w:t>13</w:t>
      </w:r>
      <w:r>
        <w:fldChar w:fldCharType="end"/>
      </w:r>
      <w:r>
        <w:rPr>
          <w:i w:val="0"/>
          <w:iCs w:val="0"/>
          <w:color w:val="auto"/>
          <w:szCs w:val="21"/>
          <w:highlight w:val="none"/>
        </w:rPr>
        <w:fldChar w:fldCharType="end"/>
      </w:r>
    </w:p>
    <w:p w14:paraId="3863B53F">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_Toc13797 </w:instrText>
      </w:r>
      <w:r>
        <w:rPr>
          <w:i w:val="0"/>
          <w:iCs w:val="0"/>
          <w:szCs w:val="21"/>
          <w:highlight w:val="none"/>
        </w:rPr>
        <w:fldChar w:fldCharType="separate"/>
      </w:r>
      <w:r>
        <w:rPr>
          <w:rFonts w:hint="default" w:ascii="Arial" w:hAnsi="Arial" w:cs="Arial"/>
          <w:i w:val="0"/>
          <w:iCs w:val="0"/>
          <w:szCs w:val="22"/>
        </w:rPr>
        <w:t xml:space="preserve">3.3.6 </w:t>
      </w:r>
      <w:r>
        <w:rPr>
          <w:rFonts w:hint="eastAsia"/>
          <w:i w:val="0"/>
          <w:iCs w:val="0"/>
          <w:szCs w:val="22"/>
          <w:highlight w:val="none"/>
        </w:rPr>
        <w:t>机柜（机箱）</w:t>
      </w:r>
      <w:r>
        <w:tab/>
      </w:r>
      <w:r>
        <w:fldChar w:fldCharType="begin"/>
      </w:r>
      <w:r>
        <w:instrText xml:space="preserve"> PAGEREF _Toc13797 \h </w:instrText>
      </w:r>
      <w:r>
        <w:fldChar w:fldCharType="separate"/>
      </w:r>
      <w:r>
        <w:t>13</w:t>
      </w:r>
      <w:r>
        <w:fldChar w:fldCharType="end"/>
      </w:r>
      <w:r>
        <w:rPr>
          <w:i w:val="0"/>
          <w:iCs w:val="0"/>
          <w:color w:val="auto"/>
          <w:szCs w:val="21"/>
          <w:highlight w:val="none"/>
        </w:rPr>
        <w:fldChar w:fldCharType="end"/>
      </w:r>
    </w:p>
    <w:p w14:paraId="6707EB8A">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_Toc7234 </w:instrText>
      </w:r>
      <w:r>
        <w:rPr>
          <w:i w:val="0"/>
          <w:iCs w:val="0"/>
          <w:szCs w:val="21"/>
          <w:highlight w:val="none"/>
        </w:rPr>
        <w:fldChar w:fldCharType="separate"/>
      </w:r>
      <w:r>
        <w:rPr>
          <w:rFonts w:hint="default" w:ascii="Arial" w:hAnsi="Arial" w:cs="Arial"/>
          <w:i w:val="0"/>
          <w:iCs w:val="0"/>
          <w:szCs w:val="24"/>
        </w:rPr>
        <w:t xml:space="preserve">3.4 </w:t>
      </w:r>
      <w:r>
        <w:rPr>
          <w:rFonts w:hint="eastAsia"/>
          <w:i w:val="0"/>
          <w:iCs w:val="0"/>
          <w:szCs w:val="21"/>
          <w:highlight w:val="none"/>
        </w:rPr>
        <w:t>供货的基本要求</w:t>
      </w:r>
      <w:r>
        <w:tab/>
      </w:r>
      <w:r>
        <w:fldChar w:fldCharType="begin"/>
      </w:r>
      <w:r>
        <w:instrText xml:space="preserve"> PAGEREF _Toc7234 \h </w:instrText>
      </w:r>
      <w:r>
        <w:fldChar w:fldCharType="separate"/>
      </w:r>
      <w:r>
        <w:t>13</w:t>
      </w:r>
      <w:r>
        <w:fldChar w:fldCharType="end"/>
      </w:r>
      <w:r>
        <w:rPr>
          <w:i w:val="0"/>
          <w:iCs w:val="0"/>
          <w:color w:val="auto"/>
          <w:szCs w:val="21"/>
          <w:highlight w:val="none"/>
        </w:rPr>
        <w:fldChar w:fldCharType="end"/>
      </w:r>
    </w:p>
    <w:p w14:paraId="187194FD">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_Toc6490 </w:instrText>
      </w:r>
      <w:r>
        <w:rPr>
          <w:i w:val="0"/>
          <w:iCs w:val="0"/>
          <w:szCs w:val="21"/>
          <w:highlight w:val="none"/>
        </w:rPr>
        <w:fldChar w:fldCharType="separate"/>
      </w:r>
      <w:r>
        <w:rPr>
          <w:rFonts w:hint="default" w:ascii="Arial" w:hAnsi="Arial" w:cs="Arial"/>
          <w:i w:val="0"/>
          <w:iCs w:val="0"/>
          <w:szCs w:val="24"/>
        </w:rPr>
        <w:t xml:space="preserve">3.5 </w:t>
      </w:r>
      <w:r>
        <w:rPr>
          <w:rFonts w:hint="eastAsia"/>
          <w:i w:val="0"/>
          <w:iCs w:val="0"/>
          <w:szCs w:val="21"/>
          <w:highlight w:val="none"/>
        </w:rPr>
        <w:t>设计原则</w:t>
      </w:r>
      <w:r>
        <w:tab/>
      </w:r>
      <w:r>
        <w:fldChar w:fldCharType="begin"/>
      </w:r>
      <w:r>
        <w:instrText xml:space="preserve"> PAGEREF _Toc6490 \h </w:instrText>
      </w:r>
      <w:r>
        <w:fldChar w:fldCharType="separate"/>
      </w:r>
      <w:r>
        <w:t>14</w:t>
      </w:r>
      <w:r>
        <w:fldChar w:fldCharType="end"/>
      </w:r>
      <w:r>
        <w:rPr>
          <w:i w:val="0"/>
          <w:iCs w:val="0"/>
          <w:color w:val="auto"/>
          <w:szCs w:val="21"/>
          <w:highlight w:val="none"/>
        </w:rPr>
        <w:fldChar w:fldCharType="end"/>
      </w:r>
    </w:p>
    <w:p w14:paraId="19559B51">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_Toc6135 </w:instrText>
      </w:r>
      <w:r>
        <w:rPr>
          <w:i w:val="0"/>
          <w:iCs w:val="0"/>
          <w:szCs w:val="21"/>
          <w:highlight w:val="none"/>
        </w:rPr>
        <w:fldChar w:fldCharType="separate"/>
      </w:r>
      <w:r>
        <w:rPr>
          <w:rFonts w:hint="default" w:ascii="Arial" w:hAnsi="Arial" w:cs="Arial"/>
          <w:i w:val="0"/>
          <w:iCs w:val="0"/>
          <w:szCs w:val="22"/>
        </w:rPr>
        <w:t xml:space="preserve">3.5.1 </w:t>
      </w:r>
      <w:r>
        <w:rPr>
          <w:rFonts w:hint="eastAsia"/>
          <w:i w:val="0"/>
          <w:iCs w:val="0"/>
          <w:szCs w:val="22"/>
          <w:highlight w:val="none"/>
        </w:rPr>
        <w:t>系统设计基本原则</w:t>
      </w:r>
      <w:r>
        <w:tab/>
      </w:r>
      <w:r>
        <w:fldChar w:fldCharType="begin"/>
      </w:r>
      <w:r>
        <w:instrText xml:space="preserve"> PAGEREF _Toc6135 \h </w:instrText>
      </w:r>
      <w:r>
        <w:fldChar w:fldCharType="separate"/>
      </w:r>
      <w:r>
        <w:t>14</w:t>
      </w:r>
      <w:r>
        <w:fldChar w:fldCharType="end"/>
      </w:r>
      <w:r>
        <w:rPr>
          <w:i w:val="0"/>
          <w:iCs w:val="0"/>
          <w:color w:val="auto"/>
          <w:szCs w:val="21"/>
          <w:highlight w:val="none"/>
        </w:rPr>
        <w:fldChar w:fldCharType="end"/>
      </w:r>
    </w:p>
    <w:p w14:paraId="3F05212F">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_Toc26405 </w:instrText>
      </w:r>
      <w:r>
        <w:rPr>
          <w:i w:val="0"/>
          <w:iCs w:val="0"/>
          <w:szCs w:val="21"/>
          <w:highlight w:val="none"/>
        </w:rPr>
        <w:fldChar w:fldCharType="separate"/>
      </w:r>
      <w:r>
        <w:rPr>
          <w:rFonts w:hint="default" w:ascii="Arial" w:hAnsi="Arial" w:cs="Arial"/>
          <w:i w:val="0"/>
          <w:iCs w:val="0"/>
          <w:szCs w:val="22"/>
        </w:rPr>
        <w:t xml:space="preserve">3.5.2 </w:t>
      </w:r>
      <w:r>
        <w:rPr>
          <w:rFonts w:hint="eastAsia"/>
          <w:i w:val="0"/>
          <w:iCs w:val="0"/>
          <w:szCs w:val="22"/>
          <w:highlight w:val="none"/>
        </w:rPr>
        <w:t>各系统设置原则</w:t>
      </w:r>
      <w:r>
        <w:tab/>
      </w:r>
      <w:r>
        <w:fldChar w:fldCharType="begin"/>
      </w:r>
      <w:r>
        <w:instrText xml:space="preserve"> PAGEREF _Toc26405 \h </w:instrText>
      </w:r>
      <w:r>
        <w:fldChar w:fldCharType="separate"/>
      </w:r>
      <w:r>
        <w:t>15</w:t>
      </w:r>
      <w:r>
        <w:fldChar w:fldCharType="end"/>
      </w:r>
      <w:r>
        <w:rPr>
          <w:i w:val="0"/>
          <w:iCs w:val="0"/>
          <w:color w:val="auto"/>
          <w:szCs w:val="21"/>
          <w:highlight w:val="none"/>
        </w:rPr>
        <w:fldChar w:fldCharType="end"/>
      </w:r>
    </w:p>
    <w:p w14:paraId="3B0876EE">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_Toc21113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4. </w:t>
      </w:r>
      <w:r>
        <w:rPr>
          <w:rFonts w:hint="eastAsia"/>
          <w:i w:val="0"/>
          <w:iCs w:val="0"/>
          <w:szCs w:val="32"/>
          <w:highlight w:val="none"/>
        </w:rPr>
        <w:t>国产化要求</w:t>
      </w:r>
      <w:r>
        <w:tab/>
      </w:r>
      <w:r>
        <w:fldChar w:fldCharType="begin"/>
      </w:r>
      <w:r>
        <w:instrText xml:space="preserve"> PAGEREF _Toc21113 \h </w:instrText>
      </w:r>
      <w:r>
        <w:fldChar w:fldCharType="separate"/>
      </w:r>
      <w:r>
        <w:t>17</w:t>
      </w:r>
      <w:r>
        <w:fldChar w:fldCharType="end"/>
      </w:r>
      <w:r>
        <w:rPr>
          <w:i w:val="0"/>
          <w:iCs w:val="0"/>
          <w:color w:val="auto"/>
          <w:szCs w:val="21"/>
          <w:highlight w:val="none"/>
        </w:rPr>
        <w:fldChar w:fldCharType="end"/>
      </w:r>
    </w:p>
    <w:p w14:paraId="63B54296">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_Toc6160 </w:instrText>
      </w:r>
      <w:r>
        <w:rPr>
          <w:i w:val="0"/>
          <w:iCs w:val="0"/>
          <w:szCs w:val="21"/>
          <w:highlight w:val="none"/>
        </w:rPr>
        <w:fldChar w:fldCharType="separate"/>
      </w:r>
      <w:r>
        <w:rPr>
          <w:rFonts w:hint="default" w:ascii="Arial" w:hAnsi="Arial" w:cs="Arial"/>
          <w:i w:val="0"/>
          <w:iCs w:val="0"/>
          <w:szCs w:val="24"/>
        </w:rPr>
        <w:t xml:space="preserve">4.1 </w:t>
      </w:r>
      <w:r>
        <w:rPr>
          <w:rFonts w:hint="eastAsia"/>
          <w:i w:val="0"/>
          <w:iCs w:val="0"/>
          <w:szCs w:val="21"/>
          <w:highlight w:val="none"/>
        </w:rPr>
        <w:t>硬件设备国产化</w:t>
      </w:r>
      <w:r>
        <w:tab/>
      </w:r>
      <w:r>
        <w:fldChar w:fldCharType="begin"/>
      </w:r>
      <w:r>
        <w:instrText xml:space="preserve"> PAGEREF _Toc6160 \h </w:instrText>
      </w:r>
      <w:r>
        <w:fldChar w:fldCharType="separate"/>
      </w:r>
      <w:r>
        <w:t>17</w:t>
      </w:r>
      <w:r>
        <w:fldChar w:fldCharType="end"/>
      </w:r>
      <w:r>
        <w:rPr>
          <w:i w:val="0"/>
          <w:iCs w:val="0"/>
          <w:color w:val="auto"/>
          <w:szCs w:val="21"/>
          <w:highlight w:val="none"/>
        </w:rPr>
        <w:fldChar w:fldCharType="end"/>
      </w:r>
    </w:p>
    <w:p w14:paraId="3C38B84B">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_Toc14849 </w:instrText>
      </w:r>
      <w:r>
        <w:rPr>
          <w:i w:val="0"/>
          <w:iCs w:val="0"/>
          <w:szCs w:val="21"/>
          <w:highlight w:val="none"/>
        </w:rPr>
        <w:fldChar w:fldCharType="separate"/>
      </w:r>
      <w:r>
        <w:rPr>
          <w:rFonts w:hint="default" w:ascii="Arial" w:hAnsi="Arial" w:cs="Arial"/>
          <w:i w:val="0"/>
          <w:iCs w:val="0"/>
          <w:szCs w:val="24"/>
        </w:rPr>
        <w:t xml:space="preserve">4.2 </w:t>
      </w:r>
      <w:r>
        <w:rPr>
          <w:rFonts w:hint="eastAsia"/>
          <w:i w:val="0"/>
          <w:iCs w:val="0"/>
          <w:szCs w:val="21"/>
          <w:highlight w:val="none"/>
        </w:rPr>
        <w:t>软件平台国产化</w:t>
      </w:r>
      <w:r>
        <w:tab/>
      </w:r>
      <w:r>
        <w:fldChar w:fldCharType="begin"/>
      </w:r>
      <w:r>
        <w:instrText xml:space="preserve"> PAGEREF _Toc14849 \h </w:instrText>
      </w:r>
      <w:r>
        <w:fldChar w:fldCharType="separate"/>
      </w:r>
      <w:r>
        <w:t>17</w:t>
      </w:r>
      <w:r>
        <w:fldChar w:fldCharType="end"/>
      </w:r>
      <w:r>
        <w:rPr>
          <w:i w:val="0"/>
          <w:iCs w:val="0"/>
          <w:color w:val="auto"/>
          <w:szCs w:val="21"/>
          <w:highlight w:val="none"/>
        </w:rPr>
        <w:fldChar w:fldCharType="end"/>
      </w:r>
    </w:p>
    <w:p w14:paraId="6EEB2223">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_Toc8128 </w:instrText>
      </w:r>
      <w:r>
        <w:rPr>
          <w:i w:val="0"/>
          <w:iCs w:val="0"/>
          <w:szCs w:val="21"/>
          <w:highlight w:val="none"/>
        </w:rPr>
        <w:fldChar w:fldCharType="separate"/>
      </w:r>
      <w:r>
        <w:rPr>
          <w:rFonts w:hint="default" w:ascii="Arial" w:hAnsi="Arial" w:cs="Arial"/>
          <w:i w:val="0"/>
          <w:iCs w:val="0"/>
          <w:szCs w:val="24"/>
        </w:rPr>
        <w:t xml:space="preserve">4.3 </w:t>
      </w:r>
      <w:r>
        <w:rPr>
          <w:rFonts w:hint="eastAsia"/>
          <w:i w:val="0"/>
          <w:iCs w:val="0"/>
          <w:szCs w:val="21"/>
          <w:highlight w:val="none"/>
        </w:rPr>
        <w:t>系统集成实施国产化</w:t>
      </w:r>
      <w:r>
        <w:tab/>
      </w:r>
      <w:r>
        <w:fldChar w:fldCharType="begin"/>
      </w:r>
      <w:r>
        <w:instrText xml:space="preserve"> PAGEREF _Toc8128 \h </w:instrText>
      </w:r>
      <w:r>
        <w:fldChar w:fldCharType="separate"/>
      </w:r>
      <w:r>
        <w:t>17</w:t>
      </w:r>
      <w:r>
        <w:fldChar w:fldCharType="end"/>
      </w:r>
      <w:r>
        <w:rPr>
          <w:i w:val="0"/>
          <w:iCs w:val="0"/>
          <w:color w:val="auto"/>
          <w:szCs w:val="21"/>
          <w:highlight w:val="none"/>
        </w:rPr>
        <w:fldChar w:fldCharType="end"/>
      </w:r>
    </w:p>
    <w:p w14:paraId="461285B8">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_Toc24768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5. </w:t>
      </w:r>
      <w:r>
        <w:rPr>
          <w:rFonts w:hint="eastAsia"/>
          <w:i w:val="0"/>
          <w:iCs w:val="0"/>
          <w:szCs w:val="32"/>
          <w:highlight w:val="none"/>
        </w:rPr>
        <w:t>工程投标要求</w:t>
      </w:r>
      <w:r>
        <w:tab/>
      </w:r>
      <w:r>
        <w:fldChar w:fldCharType="begin"/>
      </w:r>
      <w:r>
        <w:instrText xml:space="preserve"> PAGEREF _Toc24768 \h </w:instrText>
      </w:r>
      <w:r>
        <w:fldChar w:fldCharType="separate"/>
      </w:r>
      <w:r>
        <w:t>18</w:t>
      </w:r>
      <w:r>
        <w:fldChar w:fldCharType="end"/>
      </w:r>
      <w:r>
        <w:rPr>
          <w:i w:val="0"/>
          <w:iCs w:val="0"/>
          <w:color w:val="auto"/>
          <w:szCs w:val="21"/>
          <w:highlight w:val="none"/>
        </w:rPr>
        <w:fldChar w:fldCharType="end"/>
      </w:r>
    </w:p>
    <w:p w14:paraId="3472D7A9">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_Toc2101 </w:instrText>
      </w:r>
      <w:r>
        <w:rPr>
          <w:i w:val="0"/>
          <w:iCs w:val="0"/>
          <w:szCs w:val="21"/>
          <w:highlight w:val="none"/>
        </w:rPr>
        <w:fldChar w:fldCharType="separate"/>
      </w:r>
      <w:r>
        <w:rPr>
          <w:rFonts w:hint="default" w:ascii="Arial" w:hAnsi="Arial" w:cs="Arial"/>
          <w:i w:val="0"/>
          <w:iCs w:val="0"/>
          <w:szCs w:val="24"/>
        </w:rPr>
        <w:t xml:space="preserve">5.1 </w:t>
      </w:r>
      <w:r>
        <w:rPr>
          <w:rFonts w:hint="eastAsia"/>
          <w:i w:val="0"/>
          <w:iCs w:val="0"/>
          <w:szCs w:val="21"/>
          <w:highlight w:val="none"/>
        </w:rPr>
        <w:t>投标响应要求</w:t>
      </w:r>
      <w:r>
        <w:tab/>
      </w:r>
      <w:r>
        <w:fldChar w:fldCharType="begin"/>
      </w:r>
      <w:r>
        <w:instrText xml:space="preserve"> PAGEREF _Toc2101 \h </w:instrText>
      </w:r>
      <w:r>
        <w:fldChar w:fldCharType="separate"/>
      </w:r>
      <w:r>
        <w:t>18</w:t>
      </w:r>
      <w:r>
        <w:fldChar w:fldCharType="end"/>
      </w:r>
      <w:r>
        <w:rPr>
          <w:i w:val="0"/>
          <w:iCs w:val="0"/>
          <w:color w:val="auto"/>
          <w:szCs w:val="21"/>
          <w:highlight w:val="none"/>
        </w:rPr>
        <w:fldChar w:fldCharType="end"/>
      </w:r>
    </w:p>
    <w:p w14:paraId="6D838647">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_Toc20202 </w:instrText>
      </w:r>
      <w:r>
        <w:rPr>
          <w:i w:val="0"/>
          <w:iCs w:val="0"/>
          <w:szCs w:val="21"/>
          <w:highlight w:val="none"/>
        </w:rPr>
        <w:fldChar w:fldCharType="separate"/>
      </w:r>
      <w:r>
        <w:rPr>
          <w:rFonts w:hint="default" w:ascii="Arial" w:hAnsi="Arial" w:cs="Arial"/>
          <w:i w:val="0"/>
          <w:iCs w:val="0"/>
          <w:szCs w:val="24"/>
        </w:rPr>
        <w:t xml:space="preserve">5.2 </w:t>
      </w:r>
      <w:r>
        <w:rPr>
          <w:rFonts w:hint="eastAsia"/>
          <w:i w:val="0"/>
          <w:iCs w:val="0"/>
          <w:szCs w:val="21"/>
          <w:highlight w:val="none"/>
        </w:rPr>
        <w:t>总体工期要求</w:t>
      </w:r>
      <w:r>
        <w:tab/>
      </w:r>
      <w:r>
        <w:fldChar w:fldCharType="begin"/>
      </w:r>
      <w:r>
        <w:instrText xml:space="preserve"> PAGEREF _Toc20202 \h </w:instrText>
      </w:r>
      <w:r>
        <w:fldChar w:fldCharType="separate"/>
      </w:r>
      <w:r>
        <w:t>19</w:t>
      </w:r>
      <w:r>
        <w:fldChar w:fldCharType="end"/>
      </w:r>
      <w:r>
        <w:rPr>
          <w:i w:val="0"/>
          <w:iCs w:val="0"/>
          <w:color w:val="auto"/>
          <w:szCs w:val="21"/>
          <w:highlight w:val="none"/>
        </w:rPr>
        <w:fldChar w:fldCharType="end"/>
      </w:r>
    </w:p>
    <w:p w14:paraId="354B6DA4">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_Toc3649 </w:instrText>
      </w:r>
      <w:r>
        <w:rPr>
          <w:i w:val="0"/>
          <w:iCs w:val="0"/>
          <w:szCs w:val="21"/>
          <w:highlight w:val="none"/>
        </w:rPr>
        <w:fldChar w:fldCharType="separate"/>
      </w:r>
      <w:r>
        <w:rPr>
          <w:rFonts w:hint="default" w:ascii="Arial" w:hAnsi="Arial" w:cs="Arial"/>
          <w:i w:val="0"/>
          <w:iCs w:val="0"/>
          <w:szCs w:val="24"/>
        </w:rPr>
        <w:t xml:space="preserve">5.3 </w:t>
      </w:r>
      <w:r>
        <w:rPr>
          <w:rFonts w:hint="eastAsia"/>
          <w:i w:val="0"/>
          <w:iCs w:val="0"/>
          <w:szCs w:val="21"/>
          <w:highlight w:val="none"/>
        </w:rPr>
        <w:t>关键工期安排</w:t>
      </w:r>
      <w:r>
        <w:tab/>
      </w:r>
      <w:r>
        <w:fldChar w:fldCharType="begin"/>
      </w:r>
      <w:r>
        <w:instrText xml:space="preserve"> PAGEREF _Toc3649 \h </w:instrText>
      </w:r>
      <w:r>
        <w:fldChar w:fldCharType="separate"/>
      </w:r>
      <w:r>
        <w:t>20</w:t>
      </w:r>
      <w:r>
        <w:fldChar w:fldCharType="end"/>
      </w:r>
      <w:r>
        <w:rPr>
          <w:i w:val="0"/>
          <w:iCs w:val="0"/>
          <w:color w:val="auto"/>
          <w:szCs w:val="21"/>
          <w:highlight w:val="none"/>
        </w:rPr>
        <w:fldChar w:fldCharType="end"/>
      </w:r>
    </w:p>
    <w:p w14:paraId="697759B2">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_Toc30152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6. </w:t>
      </w:r>
      <w:r>
        <w:rPr>
          <w:rFonts w:hint="eastAsia"/>
          <w:i w:val="0"/>
          <w:iCs w:val="0"/>
          <w:szCs w:val="32"/>
          <w:highlight w:val="none"/>
        </w:rPr>
        <w:t>备品备件及专用工具通用要求</w:t>
      </w:r>
      <w:r>
        <w:tab/>
      </w:r>
      <w:r>
        <w:fldChar w:fldCharType="begin"/>
      </w:r>
      <w:r>
        <w:instrText xml:space="preserve"> PAGEREF _Toc30152 \h </w:instrText>
      </w:r>
      <w:r>
        <w:fldChar w:fldCharType="separate"/>
      </w:r>
      <w:r>
        <w:t>21</w:t>
      </w:r>
      <w:r>
        <w:fldChar w:fldCharType="end"/>
      </w:r>
      <w:r>
        <w:rPr>
          <w:i w:val="0"/>
          <w:iCs w:val="0"/>
          <w:color w:val="auto"/>
          <w:szCs w:val="21"/>
          <w:highlight w:val="none"/>
        </w:rPr>
        <w:fldChar w:fldCharType="end"/>
      </w:r>
    </w:p>
    <w:p w14:paraId="129D10EF">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_Toc28356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7. </w:t>
      </w:r>
      <w:r>
        <w:rPr>
          <w:rFonts w:hint="eastAsia"/>
          <w:i w:val="0"/>
          <w:iCs w:val="0"/>
          <w:szCs w:val="32"/>
          <w:highlight w:val="none"/>
        </w:rPr>
        <w:t>项目管理</w:t>
      </w:r>
      <w:r>
        <w:tab/>
      </w:r>
      <w:r>
        <w:fldChar w:fldCharType="begin"/>
      </w:r>
      <w:r>
        <w:instrText xml:space="preserve"> PAGEREF _Toc28356 \h </w:instrText>
      </w:r>
      <w:r>
        <w:fldChar w:fldCharType="separate"/>
      </w:r>
      <w:r>
        <w:t>22</w:t>
      </w:r>
      <w:r>
        <w:fldChar w:fldCharType="end"/>
      </w:r>
      <w:r>
        <w:rPr>
          <w:i w:val="0"/>
          <w:iCs w:val="0"/>
          <w:color w:val="auto"/>
          <w:szCs w:val="21"/>
          <w:highlight w:val="none"/>
        </w:rPr>
        <w:fldChar w:fldCharType="end"/>
      </w:r>
    </w:p>
    <w:p w14:paraId="59FD5B6B">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_Toc21645 </w:instrText>
      </w:r>
      <w:r>
        <w:rPr>
          <w:i w:val="0"/>
          <w:iCs w:val="0"/>
          <w:szCs w:val="21"/>
          <w:highlight w:val="none"/>
        </w:rPr>
        <w:fldChar w:fldCharType="separate"/>
      </w:r>
      <w:r>
        <w:rPr>
          <w:rFonts w:hint="default" w:ascii="Arial" w:hAnsi="Arial" w:cs="Arial"/>
          <w:i w:val="0"/>
          <w:iCs w:val="0"/>
          <w:szCs w:val="24"/>
        </w:rPr>
        <w:t xml:space="preserve">7.1 </w:t>
      </w:r>
      <w:r>
        <w:rPr>
          <w:rFonts w:hint="eastAsia"/>
          <w:i w:val="0"/>
          <w:iCs w:val="0"/>
          <w:szCs w:val="21"/>
          <w:highlight w:val="none"/>
        </w:rPr>
        <w:t>总则</w:t>
      </w:r>
      <w:r>
        <w:tab/>
      </w:r>
      <w:r>
        <w:fldChar w:fldCharType="begin"/>
      </w:r>
      <w:r>
        <w:instrText xml:space="preserve"> PAGEREF _Toc21645 \h </w:instrText>
      </w:r>
      <w:r>
        <w:fldChar w:fldCharType="separate"/>
      </w:r>
      <w:r>
        <w:t>22</w:t>
      </w:r>
      <w:r>
        <w:fldChar w:fldCharType="end"/>
      </w:r>
      <w:r>
        <w:rPr>
          <w:i w:val="0"/>
          <w:iCs w:val="0"/>
          <w:color w:val="auto"/>
          <w:szCs w:val="21"/>
          <w:highlight w:val="none"/>
        </w:rPr>
        <w:fldChar w:fldCharType="end"/>
      </w:r>
    </w:p>
    <w:p w14:paraId="3B13D879">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_Toc21163 </w:instrText>
      </w:r>
      <w:r>
        <w:rPr>
          <w:i w:val="0"/>
          <w:iCs w:val="0"/>
          <w:szCs w:val="21"/>
          <w:highlight w:val="none"/>
        </w:rPr>
        <w:fldChar w:fldCharType="separate"/>
      </w:r>
      <w:r>
        <w:rPr>
          <w:rFonts w:hint="default" w:ascii="Arial" w:hAnsi="Arial" w:cs="Arial"/>
          <w:i w:val="0"/>
          <w:iCs w:val="0"/>
          <w:szCs w:val="24"/>
        </w:rPr>
        <w:t xml:space="preserve">7.2 </w:t>
      </w:r>
      <w:r>
        <w:rPr>
          <w:rFonts w:hint="eastAsia"/>
          <w:i w:val="0"/>
          <w:iCs w:val="0"/>
          <w:szCs w:val="21"/>
          <w:highlight w:val="none"/>
        </w:rPr>
        <w:t>项目组织</w:t>
      </w:r>
      <w:r>
        <w:tab/>
      </w:r>
      <w:r>
        <w:fldChar w:fldCharType="begin"/>
      </w:r>
      <w:r>
        <w:instrText xml:space="preserve"> PAGEREF _Toc21163 \h </w:instrText>
      </w:r>
      <w:r>
        <w:fldChar w:fldCharType="separate"/>
      </w:r>
      <w:r>
        <w:t>22</w:t>
      </w:r>
      <w:r>
        <w:fldChar w:fldCharType="end"/>
      </w:r>
      <w:r>
        <w:rPr>
          <w:i w:val="0"/>
          <w:iCs w:val="0"/>
          <w:color w:val="auto"/>
          <w:szCs w:val="21"/>
          <w:highlight w:val="none"/>
        </w:rPr>
        <w:fldChar w:fldCharType="end"/>
      </w:r>
    </w:p>
    <w:p w14:paraId="350BE674">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_Toc9426 </w:instrText>
      </w:r>
      <w:r>
        <w:rPr>
          <w:i w:val="0"/>
          <w:iCs w:val="0"/>
          <w:szCs w:val="21"/>
          <w:highlight w:val="none"/>
        </w:rPr>
        <w:fldChar w:fldCharType="separate"/>
      </w:r>
      <w:r>
        <w:rPr>
          <w:rFonts w:hint="default" w:ascii="Arial" w:hAnsi="Arial" w:cs="Arial"/>
          <w:i w:val="0"/>
          <w:iCs w:val="0"/>
          <w:szCs w:val="24"/>
        </w:rPr>
        <w:t xml:space="preserve">7.3 </w:t>
      </w:r>
      <w:r>
        <w:rPr>
          <w:rFonts w:hint="eastAsia"/>
          <w:i w:val="0"/>
          <w:iCs w:val="0"/>
          <w:szCs w:val="21"/>
          <w:highlight w:val="none"/>
        </w:rPr>
        <w:t>人员要求</w:t>
      </w:r>
      <w:r>
        <w:tab/>
      </w:r>
      <w:r>
        <w:fldChar w:fldCharType="begin"/>
      </w:r>
      <w:r>
        <w:instrText xml:space="preserve"> PAGEREF _Toc9426 \h </w:instrText>
      </w:r>
      <w:r>
        <w:fldChar w:fldCharType="separate"/>
      </w:r>
      <w:r>
        <w:t>22</w:t>
      </w:r>
      <w:r>
        <w:fldChar w:fldCharType="end"/>
      </w:r>
      <w:r>
        <w:rPr>
          <w:i w:val="0"/>
          <w:iCs w:val="0"/>
          <w:color w:val="auto"/>
          <w:szCs w:val="21"/>
          <w:highlight w:val="none"/>
        </w:rPr>
        <w:fldChar w:fldCharType="end"/>
      </w:r>
    </w:p>
    <w:p w14:paraId="168ED804">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_Toc30726 </w:instrText>
      </w:r>
      <w:r>
        <w:rPr>
          <w:i w:val="0"/>
          <w:iCs w:val="0"/>
          <w:szCs w:val="21"/>
          <w:highlight w:val="none"/>
        </w:rPr>
        <w:fldChar w:fldCharType="separate"/>
      </w:r>
      <w:r>
        <w:rPr>
          <w:rFonts w:hint="default" w:ascii="Arial" w:hAnsi="Arial" w:cs="Arial"/>
          <w:i w:val="0"/>
          <w:iCs w:val="0"/>
          <w:szCs w:val="22"/>
        </w:rPr>
        <w:t xml:space="preserve">7.3.1 </w:t>
      </w:r>
      <w:r>
        <w:rPr>
          <w:rFonts w:hint="eastAsia"/>
          <w:i w:val="0"/>
          <w:iCs w:val="0"/>
          <w:szCs w:val="22"/>
          <w:highlight w:val="none"/>
        </w:rPr>
        <w:t>项目部人员</w:t>
      </w:r>
      <w:r>
        <w:tab/>
      </w:r>
      <w:r>
        <w:fldChar w:fldCharType="begin"/>
      </w:r>
      <w:r>
        <w:instrText xml:space="preserve"> PAGEREF _Toc30726 \h </w:instrText>
      </w:r>
      <w:r>
        <w:fldChar w:fldCharType="separate"/>
      </w:r>
      <w:r>
        <w:t>22</w:t>
      </w:r>
      <w:r>
        <w:fldChar w:fldCharType="end"/>
      </w:r>
      <w:r>
        <w:rPr>
          <w:i w:val="0"/>
          <w:iCs w:val="0"/>
          <w:color w:val="auto"/>
          <w:szCs w:val="21"/>
          <w:highlight w:val="none"/>
        </w:rPr>
        <w:fldChar w:fldCharType="end"/>
      </w:r>
    </w:p>
    <w:p w14:paraId="43B32578">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_Toc21469 </w:instrText>
      </w:r>
      <w:r>
        <w:rPr>
          <w:i w:val="0"/>
          <w:iCs w:val="0"/>
          <w:szCs w:val="21"/>
          <w:highlight w:val="none"/>
        </w:rPr>
        <w:fldChar w:fldCharType="separate"/>
      </w:r>
      <w:r>
        <w:rPr>
          <w:rFonts w:hint="default" w:ascii="Arial" w:hAnsi="Arial" w:cs="Arial"/>
          <w:i w:val="0"/>
          <w:iCs w:val="0"/>
          <w:szCs w:val="22"/>
        </w:rPr>
        <w:t xml:space="preserve">7.3.2 </w:t>
      </w:r>
      <w:r>
        <w:rPr>
          <w:rFonts w:hint="eastAsia"/>
          <w:i w:val="0"/>
          <w:iCs w:val="0"/>
          <w:szCs w:val="22"/>
          <w:highlight w:val="none"/>
        </w:rPr>
        <w:t>设计生产阶段人员</w:t>
      </w:r>
      <w:r>
        <w:tab/>
      </w:r>
      <w:r>
        <w:fldChar w:fldCharType="begin"/>
      </w:r>
      <w:r>
        <w:instrText xml:space="preserve"> PAGEREF _Toc21469 \h </w:instrText>
      </w:r>
      <w:r>
        <w:fldChar w:fldCharType="separate"/>
      </w:r>
      <w:r>
        <w:t>24</w:t>
      </w:r>
      <w:r>
        <w:fldChar w:fldCharType="end"/>
      </w:r>
      <w:r>
        <w:rPr>
          <w:i w:val="0"/>
          <w:iCs w:val="0"/>
          <w:color w:val="auto"/>
          <w:szCs w:val="21"/>
          <w:highlight w:val="none"/>
        </w:rPr>
        <w:fldChar w:fldCharType="end"/>
      </w:r>
    </w:p>
    <w:p w14:paraId="6D806E9E">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_Toc26802 </w:instrText>
      </w:r>
      <w:r>
        <w:rPr>
          <w:i w:val="0"/>
          <w:iCs w:val="0"/>
          <w:szCs w:val="21"/>
          <w:highlight w:val="none"/>
        </w:rPr>
        <w:fldChar w:fldCharType="separate"/>
      </w:r>
      <w:r>
        <w:rPr>
          <w:rFonts w:hint="default" w:ascii="Arial" w:hAnsi="Arial" w:cs="Arial"/>
          <w:i w:val="0"/>
          <w:iCs w:val="0"/>
          <w:szCs w:val="22"/>
        </w:rPr>
        <w:t xml:space="preserve">7.3.3 </w:t>
      </w:r>
      <w:r>
        <w:rPr>
          <w:rFonts w:hint="eastAsia"/>
          <w:i w:val="0"/>
          <w:iCs w:val="0"/>
          <w:szCs w:val="22"/>
          <w:highlight w:val="none"/>
        </w:rPr>
        <w:t>施工阶段人员</w:t>
      </w:r>
      <w:r>
        <w:tab/>
      </w:r>
      <w:r>
        <w:fldChar w:fldCharType="begin"/>
      </w:r>
      <w:r>
        <w:instrText xml:space="preserve"> PAGEREF _Toc26802 \h </w:instrText>
      </w:r>
      <w:r>
        <w:fldChar w:fldCharType="separate"/>
      </w:r>
      <w:r>
        <w:t>24</w:t>
      </w:r>
      <w:r>
        <w:fldChar w:fldCharType="end"/>
      </w:r>
      <w:r>
        <w:rPr>
          <w:i w:val="0"/>
          <w:iCs w:val="0"/>
          <w:color w:val="auto"/>
          <w:szCs w:val="21"/>
          <w:highlight w:val="none"/>
        </w:rPr>
        <w:fldChar w:fldCharType="end"/>
      </w:r>
    </w:p>
    <w:p w14:paraId="5D71803F">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_Toc30487 </w:instrText>
      </w:r>
      <w:r>
        <w:rPr>
          <w:i w:val="0"/>
          <w:iCs w:val="0"/>
          <w:szCs w:val="21"/>
          <w:highlight w:val="none"/>
        </w:rPr>
        <w:fldChar w:fldCharType="separate"/>
      </w:r>
      <w:r>
        <w:rPr>
          <w:rFonts w:hint="default" w:ascii="Arial" w:hAnsi="Arial" w:cs="Arial"/>
          <w:i w:val="0"/>
          <w:iCs w:val="0"/>
          <w:szCs w:val="22"/>
        </w:rPr>
        <w:t xml:space="preserve">7.3.4 </w:t>
      </w:r>
      <w:r>
        <w:rPr>
          <w:rFonts w:hint="eastAsia"/>
          <w:i w:val="0"/>
          <w:iCs w:val="0"/>
          <w:szCs w:val="22"/>
          <w:highlight w:val="none"/>
        </w:rPr>
        <w:t>调试、验收、考核阶段人员</w:t>
      </w:r>
      <w:r>
        <w:tab/>
      </w:r>
      <w:r>
        <w:fldChar w:fldCharType="begin"/>
      </w:r>
      <w:r>
        <w:instrText xml:space="preserve"> PAGEREF _Toc30487 \h </w:instrText>
      </w:r>
      <w:r>
        <w:fldChar w:fldCharType="separate"/>
      </w:r>
      <w:r>
        <w:t>24</w:t>
      </w:r>
      <w:r>
        <w:fldChar w:fldCharType="end"/>
      </w:r>
      <w:r>
        <w:rPr>
          <w:i w:val="0"/>
          <w:iCs w:val="0"/>
          <w:color w:val="auto"/>
          <w:szCs w:val="21"/>
          <w:highlight w:val="none"/>
        </w:rPr>
        <w:fldChar w:fldCharType="end"/>
      </w:r>
    </w:p>
    <w:p w14:paraId="0FD6FB6A">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_Toc21350 </w:instrText>
      </w:r>
      <w:r>
        <w:rPr>
          <w:i w:val="0"/>
          <w:iCs w:val="0"/>
          <w:szCs w:val="21"/>
          <w:highlight w:val="none"/>
        </w:rPr>
        <w:fldChar w:fldCharType="separate"/>
      </w:r>
      <w:r>
        <w:rPr>
          <w:rFonts w:hint="default" w:ascii="Arial" w:hAnsi="Arial" w:cs="Arial"/>
          <w:i w:val="0"/>
          <w:iCs w:val="0"/>
          <w:szCs w:val="22"/>
        </w:rPr>
        <w:t xml:space="preserve">7.3.5 </w:t>
      </w:r>
      <w:r>
        <w:rPr>
          <w:rFonts w:hint="eastAsia"/>
          <w:i w:val="0"/>
          <w:iCs w:val="0"/>
          <w:szCs w:val="22"/>
          <w:highlight w:val="none"/>
        </w:rPr>
        <w:t>交接、质保期间人员</w:t>
      </w:r>
      <w:r>
        <w:tab/>
      </w:r>
      <w:r>
        <w:fldChar w:fldCharType="begin"/>
      </w:r>
      <w:r>
        <w:instrText xml:space="preserve"> PAGEREF _Toc21350 \h </w:instrText>
      </w:r>
      <w:r>
        <w:fldChar w:fldCharType="separate"/>
      </w:r>
      <w:r>
        <w:t>24</w:t>
      </w:r>
      <w:r>
        <w:fldChar w:fldCharType="end"/>
      </w:r>
      <w:r>
        <w:rPr>
          <w:i w:val="0"/>
          <w:iCs w:val="0"/>
          <w:color w:val="auto"/>
          <w:szCs w:val="21"/>
          <w:highlight w:val="none"/>
        </w:rPr>
        <w:fldChar w:fldCharType="end"/>
      </w:r>
    </w:p>
    <w:p w14:paraId="59456FCB">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_Toc7534 </w:instrText>
      </w:r>
      <w:r>
        <w:rPr>
          <w:i w:val="0"/>
          <w:iCs w:val="0"/>
          <w:szCs w:val="21"/>
          <w:highlight w:val="none"/>
        </w:rPr>
        <w:fldChar w:fldCharType="separate"/>
      </w:r>
      <w:r>
        <w:rPr>
          <w:rFonts w:hint="default" w:ascii="Arial" w:hAnsi="Arial" w:cs="Arial"/>
          <w:i w:val="0"/>
          <w:iCs w:val="0"/>
          <w:szCs w:val="24"/>
        </w:rPr>
        <w:t xml:space="preserve">7.4 </w:t>
      </w:r>
      <w:r>
        <w:rPr>
          <w:rFonts w:hint="eastAsia"/>
          <w:i w:val="0"/>
          <w:iCs w:val="0"/>
          <w:szCs w:val="21"/>
          <w:highlight w:val="none"/>
        </w:rPr>
        <w:t>投标要求</w:t>
      </w:r>
      <w:r>
        <w:tab/>
      </w:r>
      <w:r>
        <w:fldChar w:fldCharType="begin"/>
      </w:r>
      <w:r>
        <w:instrText xml:space="preserve"> PAGEREF _Toc7534 \h </w:instrText>
      </w:r>
      <w:r>
        <w:fldChar w:fldCharType="separate"/>
      </w:r>
      <w:r>
        <w:t>25</w:t>
      </w:r>
      <w:r>
        <w:fldChar w:fldCharType="end"/>
      </w:r>
      <w:r>
        <w:rPr>
          <w:i w:val="0"/>
          <w:iCs w:val="0"/>
          <w:color w:val="auto"/>
          <w:szCs w:val="21"/>
          <w:highlight w:val="none"/>
        </w:rPr>
        <w:fldChar w:fldCharType="end"/>
      </w:r>
    </w:p>
    <w:p w14:paraId="543270DD">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_Toc555 </w:instrText>
      </w:r>
      <w:r>
        <w:rPr>
          <w:i w:val="0"/>
          <w:iCs w:val="0"/>
          <w:szCs w:val="21"/>
          <w:highlight w:val="none"/>
        </w:rPr>
        <w:fldChar w:fldCharType="separate"/>
      </w:r>
      <w:r>
        <w:rPr>
          <w:rFonts w:hint="default" w:ascii="Arial" w:hAnsi="Arial" w:cs="Arial"/>
          <w:i w:val="0"/>
          <w:iCs w:val="0"/>
          <w:szCs w:val="24"/>
        </w:rPr>
        <w:t xml:space="preserve">7.5 </w:t>
      </w:r>
      <w:r>
        <w:rPr>
          <w:rFonts w:hint="eastAsia"/>
          <w:i w:val="0"/>
          <w:iCs w:val="0"/>
          <w:szCs w:val="21"/>
          <w:highlight w:val="none"/>
        </w:rPr>
        <w:t>投标人项目计划和进度控制</w:t>
      </w:r>
      <w:r>
        <w:tab/>
      </w:r>
      <w:r>
        <w:fldChar w:fldCharType="begin"/>
      </w:r>
      <w:r>
        <w:instrText xml:space="preserve"> PAGEREF _Toc555 \h </w:instrText>
      </w:r>
      <w:r>
        <w:fldChar w:fldCharType="separate"/>
      </w:r>
      <w:r>
        <w:t>25</w:t>
      </w:r>
      <w:r>
        <w:fldChar w:fldCharType="end"/>
      </w:r>
      <w:r>
        <w:rPr>
          <w:i w:val="0"/>
          <w:iCs w:val="0"/>
          <w:color w:val="auto"/>
          <w:szCs w:val="21"/>
          <w:highlight w:val="none"/>
        </w:rPr>
        <w:fldChar w:fldCharType="end"/>
      </w:r>
    </w:p>
    <w:p w14:paraId="5D2A2115">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_Toc11368 </w:instrText>
      </w:r>
      <w:r>
        <w:rPr>
          <w:i w:val="0"/>
          <w:iCs w:val="0"/>
          <w:szCs w:val="21"/>
          <w:highlight w:val="none"/>
        </w:rPr>
        <w:fldChar w:fldCharType="separate"/>
      </w:r>
      <w:r>
        <w:rPr>
          <w:rFonts w:hint="default" w:ascii="Arial" w:hAnsi="Arial" w:cs="Arial"/>
          <w:i w:val="0"/>
          <w:iCs w:val="0"/>
          <w:szCs w:val="24"/>
        </w:rPr>
        <w:t xml:space="preserve">7.6 </w:t>
      </w:r>
      <w:r>
        <w:rPr>
          <w:rFonts w:hint="eastAsia"/>
          <w:i w:val="0"/>
          <w:iCs w:val="0"/>
          <w:szCs w:val="21"/>
          <w:highlight w:val="none"/>
        </w:rPr>
        <w:t>投标人的质量控制</w:t>
      </w:r>
      <w:r>
        <w:tab/>
      </w:r>
      <w:r>
        <w:fldChar w:fldCharType="begin"/>
      </w:r>
      <w:r>
        <w:instrText xml:space="preserve"> PAGEREF _Toc11368 \h </w:instrText>
      </w:r>
      <w:r>
        <w:fldChar w:fldCharType="separate"/>
      </w:r>
      <w:r>
        <w:t>26</w:t>
      </w:r>
      <w:r>
        <w:fldChar w:fldCharType="end"/>
      </w:r>
      <w:r>
        <w:rPr>
          <w:i w:val="0"/>
          <w:iCs w:val="0"/>
          <w:color w:val="auto"/>
          <w:szCs w:val="21"/>
          <w:highlight w:val="none"/>
        </w:rPr>
        <w:fldChar w:fldCharType="end"/>
      </w:r>
    </w:p>
    <w:p w14:paraId="19743488">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_Toc386 </w:instrText>
      </w:r>
      <w:r>
        <w:rPr>
          <w:i w:val="0"/>
          <w:iCs w:val="0"/>
          <w:szCs w:val="21"/>
          <w:highlight w:val="none"/>
        </w:rPr>
        <w:fldChar w:fldCharType="separate"/>
      </w:r>
      <w:r>
        <w:rPr>
          <w:rFonts w:hint="default" w:ascii="Arial" w:hAnsi="Arial" w:cs="Arial"/>
          <w:i w:val="0"/>
          <w:iCs w:val="0"/>
          <w:szCs w:val="24"/>
        </w:rPr>
        <w:t xml:space="preserve">7.7 </w:t>
      </w:r>
      <w:r>
        <w:rPr>
          <w:rFonts w:hint="eastAsia"/>
          <w:i w:val="0"/>
          <w:iCs w:val="0"/>
          <w:szCs w:val="21"/>
          <w:highlight w:val="none"/>
        </w:rPr>
        <w:t>投标人的投资控制管理</w:t>
      </w:r>
      <w:r>
        <w:tab/>
      </w:r>
      <w:r>
        <w:fldChar w:fldCharType="begin"/>
      </w:r>
      <w:r>
        <w:instrText xml:space="preserve"> PAGEREF _Toc386 \h </w:instrText>
      </w:r>
      <w:r>
        <w:fldChar w:fldCharType="separate"/>
      </w:r>
      <w:r>
        <w:t>27</w:t>
      </w:r>
      <w:r>
        <w:fldChar w:fldCharType="end"/>
      </w:r>
      <w:r>
        <w:rPr>
          <w:i w:val="0"/>
          <w:iCs w:val="0"/>
          <w:color w:val="auto"/>
          <w:szCs w:val="21"/>
          <w:highlight w:val="none"/>
        </w:rPr>
        <w:fldChar w:fldCharType="end"/>
      </w:r>
    </w:p>
    <w:p w14:paraId="28AAAED2">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_Toc12087 </w:instrText>
      </w:r>
      <w:r>
        <w:rPr>
          <w:i w:val="0"/>
          <w:iCs w:val="0"/>
          <w:szCs w:val="21"/>
          <w:highlight w:val="none"/>
        </w:rPr>
        <w:fldChar w:fldCharType="separate"/>
      </w:r>
      <w:r>
        <w:rPr>
          <w:rFonts w:hint="default" w:ascii="Arial" w:hAnsi="Arial" w:cs="Arial"/>
          <w:i w:val="0"/>
          <w:iCs w:val="0"/>
          <w:szCs w:val="24"/>
        </w:rPr>
        <w:t xml:space="preserve">7.8 </w:t>
      </w:r>
      <w:r>
        <w:rPr>
          <w:rFonts w:hint="eastAsia"/>
          <w:i w:val="0"/>
          <w:iCs w:val="0"/>
          <w:szCs w:val="21"/>
          <w:highlight w:val="none"/>
        </w:rPr>
        <w:t>接口管理</w:t>
      </w:r>
      <w:r>
        <w:tab/>
      </w:r>
      <w:r>
        <w:fldChar w:fldCharType="begin"/>
      </w:r>
      <w:r>
        <w:instrText xml:space="preserve"> PAGEREF _Toc12087 \h </w:instrText>
      </w:r>
      <w:r>
        <w:fldChar w:fldCharType="separate"/>
      </w:r>
      <w:r>
        <w:t>27</w:t>
      </w:r>
      <w:r>
        <w:fldChar w:fldCharType="end"/>
      </w:r>
      <w:r>
        <w:rPr>
          <w:i w:val="0"/>
          <w:iCs w:val="0"/>
          <w:color w:val="auto"/>
          <w:szCs w:val="21"/>
          <w:highlight w:val="none"/>
        </w:rPr>
        <w:fldChar w:fldCharType="end"/>
      </w:r>
    </w:p>
    <w:p w14:paraId="155B1F33">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_Toc26050 </w:instrText>
      </w:r>
      <w:r>
        <w:rPr>
          <w:i w:val="0"/>
          <w:iCs w:val="0"/>
          <w:szCs w:val="21"/>
          <w:highlight w:val="none"/>
        </w:rPr>
        <w:fldChar w:fldCharType="separate"/>
      </w:r>
      <w:r>
        <w:rPr>
          <w:rFonts w:hint="default" w:ascii="Arial" w:hAnsi="Arial" w:cs="Arial"/>
          <w:i w:val="0"/>
          <w:iCs w:val="0"/>
          <w:szCs w:val="24"/>
        </w:rPr>
        <w:t xml:space="preserve">7.9 </w:t>
      </w:r>
      <w:r>
        <w:rPr>
          <w:rFonts w:hint="eastAsia"/>
          <w:i w:val="0"/>
          <w:iCs w:val="0"/>
          <w:szCs w:val="21"/>
          <w:highlight w:val="none"/>
        </w:rPr>
        <w:t>产品设计管理</w:t>
      </w:r>
      <w:r>
        <w:tab/>
      </w:r>
      <w:r>
        <w:fldChar w:fldCharType="begin"/>
      </w:r>
      <w:r>
        <w:instrText xml:space="preserve"> PAGEREF _Toc26050 \h </w:instrText>
      </w:r>
      <w:r>
        <w:fldChar w:fldCharType="separate"/>
      </w:r>
      <w:r>
        <w:t>28</w:t>
      </w:r>
      <w:r>
        <w:fldChar w:fldCharType="end"/>
      </w:r>
      <w:r>
        <w:rPr>
          <w:i w:val="0"/>
          <w:iCs w:val="0"/>
          <w:color w:val="auto"/>
          <w:szCs w:val="21"/>
          <w:highlight w:val="none"/>
        </w:rPr>
        <w:fldChar w:fldCharType="end"/>
      </w:r>
    </w:p>
    <w:p w14:paraId="7732A255">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_Toc28434 </w:instrText>
      </w:r>
      <w:r>
        <w:rPr>
          <w:i w:val="0"/>
          <w:iCs w:val="0"/>
          <w:szCs w:val="21"/>
          <w:highlight w:val="none"/>
        </w:rPr>
        <w:fldChar w:fldCharType="separate"/>
      </w:r>
      <w:r>
        <w:rPr>
          <w:rFonts w:hint="default" w:ascii="Arial" w:hAnsi="Arial" w:cs="Arial"/>
          <w:i w:val="0"/>
          <w:iCs w:val="0"/>
          <w:szCs w:val="24"/>
        </w:rPr>
        <w:t xml:space="preserve">7.10 </w:t>
      </w:r>
      <w:r>
        <w:rPr>
          <w:rFonts w:hint="eastAsia"/>
          <w:i w:val="0"/>
          <w:iCs w:val="0"/>
          <w:szCs w:val="21"/>
          <w:highlight w:val="none"/>
        </w:rPr>
        <w:t>产品制造管理</w:t>
      </w:r>
      <w:r>
        <w:tab/>
      </w:r>
      <w:r>
        <w:fldChar w:fldCharType="begin"/>
      </w:r>
      <w:r>
        <w:instrText xml:space="preserve"> PAGEREF _Toc28434 \h </w:instrText>
      </w:r>
      <w:r>
        <w:fldChar w:fldCharType="separate"/>
      </w:r>
      <w:r>
        <w:t>28</w:t>
      </w:r>
      <w:r>
        <w:fldChar w:fldCharType="end"/>
      </w:r>
      <w:r>
        <w:rPr>
          <w:i w:val="0"/>
          <w:iCs w:val="0"/>
          <w:color w:val="auto"/>
          <w:szCs w:val="21"/>
          <w:highlight w:val="none"/>
        </w:rPr>
        <w:fldChar w:fldCharType="end"/>
      </w:r>
    </w:p>
    <w:p w14:paraId="4AB76A24">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_Toc18558 </w:instrText>
      </w:r>
      <w:r>
        <w:rPr>
          <w:i w:val="0"/>
          <w:iCs w:val="0"/>
          <w:szCs w:val="21"/>
          <w:highlight w:val="none"/>
        </w:rPr>
        <w:fldChar w:fldCharType="separate"/>
      </w:r>
      <w:r>
        <w:rPr>
          <w:rFonts w:hint="default" w:ascii="Arial" w:hAnsi="Arial" w:cs="Arial"/>
          <w:i w:val="0"/>
          <w:iCs w:val="0"/>
          <w:szCs w:val="24"/>
        </w:rPr>
        <w:t xml:space="preserve">7.11 </w:t>
      </w:r>
      <w:r>
        <w:rPr>
          <w:rFonts w:hint="eastAsia"/>
          <w:i w:val="0"/>
          <w:iCs w:val="0"/>
          <w:szCs w:val="21"/>
          <w:highlight w:val="none"/>
        </w:rPr>
        <w:t>工厂检验和试验管理</w:t>
      </w:r>
      <w:r>
        <w:tab/>
      </w:r>
      <w:r>
        <w:fldChar w:fldCharType="begin"/>
      </w:r>
      <w:r>
        <w:instrText xml:space="preserve"> PAGEREF _Toc18558 \h </w:instrText>
      </w:r>
      <w:r>
        <w:fldChar w:fldCharType="separate"/>
      </w:r>
      <w:r>
        <w:t>28</w:t>
      </w:r>
      <w:r>
        <w:fldChar w:fldCharType="end"/>
      </w:r>
      <w:r>
        <w:rPr>
          <w:i w:val="0"/>
          <w:iCs w:val="0"/>
          <w:color w:val="auto"/>
          <w:szCs w:val="21"/>
          <w:highlight w:val="none"/>
        </w:rPr>
        <w:fldChar w:fldCharType="end"/>
      </w:r>
    </w:p>
    <w:p w14:paraId="6811F54B">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_Toc10134 </w:instrText>
      </w:r>
      <w:r>
        <w:rPr>
          <w:i w:val="0"/>
          <w:iCs w:val="0"/>
          <w:szCs w:val="21"/>
          <w:highlight w:val="none"/>
        </w:rPr>
        <w:fldChar w:fldCharType="separate"/>
      </w:r>
      <w:r>
        <w:rPr>
          <w:rFonts w:hint="default" w:ascii="Arial" w:hAnsi="Arial" w:cs="Arial"/>
          <w:i w:val="0"/>
          <w:iCs w:val="0"/>
          <w:szCs w:val="24"/>
        </w:rPr>
        <w:t xml:space="preserve">7.12 </w:t>
      </w:r>
      <w:r>
        <w:rPr>
          <w:rFonts w:hint="eastAsia"/>
          <w:i w:val="0"/>
          <w:iCs w:val="0"/>
          <w:szCs w:val="21"/>
          <w:highlight w:val="none"/>
        </w:rPr>
        <w:t>不合格品的控制</w:t>
      </w:r>
      <w:r>
        <w:tab/>
      </w:r>
      <w:r>
        <w:fldChar w:fldCharType="begin"/>
      </w:r>
      <w:r>
        <w:instrText xml:space="preserve"> PAGEREF _Toc10134 \h </w:instrText>
      </w:r>
      <w:r>
        <w:fldChar w:fldCharType="separate"/>
      </w:r>
      <w:r>
        <w:t>28</w:t>
      </w:r>
      <w:r>
        <w:fldChar w:fldCharType="end"/>
      </w:r>
      <w:r>
        <w:rPr>
          <w:i w:val="0"/>
          <w:iCs w:val="0"/>
          <w:color w:val="auto"/>
          <w:szCs w:val="21"/>
          <w:highlight w:val="none"/>
        </w:rPr>
        <w:fldChar w:fldCharType="end"/>
      </w:r>
    </w:p>
    <w:p w14:paraId="53A8CDE1">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_Toc9707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8. </w:t>
      </w:r>
      <w:r>
        <w:rPr>
          <w:rFonts w:hint="eastAsia"/>
          <w:i w:val="0"/>
          <w:iCs w:val="0"/>
          <w:szCs w:val="32"/>
          <w:highlight w:val="none"/>
        </w:rPr>
        <w:t>工程管理</w:t>
      </w:r>
      <w:r>
        <w:tab/>
      </w:r>
      <w:r>
        <w:fldChar w:fldCharType="begin"/>
      </w:r>
      <w:r>
        <w:instrText xml:space="preserve"> PAGEREF _Toc9707 \h </w:instrText>
      </w:r>
      <w:r>
        <w:fldChar w:fldCharType="separate"/>
      </w:r>
      <w:r>
        <w:t>30</w:t>
      </w:r>
      <w:r>
        <w:fldChar w:fldCharType="end"/>
      </w:r>
      <w:r>
        <w:rPr>
          <w:i w:val="0"/>
          <w:iCs w:val="0"/>
          <w:color w:val="auto"/>
          <w:szCs w:val="21"/>
          <w:highlight w:val="none"/>
        </w:rPr>
        <w:fldChar w:fldCharType="end"/>
      </w:r>
    </w:p>
    <w:p w14:paraId="5BC8E8AC">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_Toc32516 </w:instrText>
      </w:r>
      <w:r>
        <w:rPr>
          <w:i w:val="0"/>
          <w:iCs w:val="0"/>
          <w:szCs w:val="21"/>
          <w:highlight w:val="none"/>
        </w:rPr>
        <w:fldChar w:fldCharType="separate"/>
      </w:r>
      <w:r>
        <w:rPr>
          <w:rFonts w:hint="default" w:ascii="Arial" w:hAnsi="Arial" w:cs="Arial"/>
          <w:i w:val="0"/>
          <w:iCs w:val="0"/>
          <w:szCs w:val="24"/>
        </w:rPr>
        <w:t xml:space="preserve">8.1 </w:t>
      </w:r>
      <w:r>
        <w:rPr>
          <w:rFonts w:hint="eastAsia"/>
          <w:i w:val="0"/>
          <w:iCs w:val="0"/>
          <w:szCs w:val="21"/>
          <w:highlight w:val="none"/>
        </w:rPr>
        <w:t>项目管理职责划分和细则</w:t>
      </w:r>
      <w:r>
        <w:tab/>
      </w:r>
      <w:r>
        <w:fldChar w:fldCharType="begin"/>
      </w:r>
      <w:r>
        <w:instrText xml:space="preserve"> PAGEREF _Toc32516 \h </w:instrText>
      </w:r>
      <w:r>
        <w:fldChar w:fldCharType="separate"/>
      </w:r>
      <w:r>
        <w:t>30</w:t>
      </w:r>
      <w:r>
        <w:fldChar w:fldCharType="end"/>
      </w:r>
      <w:r>
        <w:rPr>
          <w:i w:val="0"/>
          <w:iCs w:val="0"/>
          <w:color w:val="auto"/>
          <w:szCs w:val="21"/>
          <w:highlight w:val="none"/>
        </w:rPr>
        <w:fldChar w:fldCharType="end"/>
      </w:r>
    </w:p>
    <w:p w14:paraId="1024B187">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_Toc17053 </w:instrText>
      </w:r>
      <w:r>
        <w:rPr>
          <w:i w:val="0"/>
          <w:iCs w:val="0"/>
          <w:szCs w:val="21"/>
          <w:highlight w:val="none"/>
        </w:rPr>
        <w:fldChar w:fldCharType="separate"/>
      </w:r>
      <w:r>
        <w:rPr>
          <w:rFonts w:hint="default" w:ascii="Arial" w:hAnsi="Arial" w:cs="Arial"/>
          <w:i w:val="0"/>
          <w:iCs w:val="0"/>
          <w:szCs w:val="24"/>
        </w:rPr>
        <w:t xml:space="preserve">8.2 </w:t>
      </w:r>
      <w:r>
        <w:rPr>
          <w:rFonts w:hint="eastAsia"/>
          <w:i w:val="0"/>
          <w:iCs w:val="0"/>
          <w:szCs w:val="21"/>
          <w:highlight w:val="none"/>
        </w:rPr>
        <w:t>工程管理责任</w:t>
      </w:r>
      <w:r>
        <w:tab/>
      </w:r>
      <w:r>
        <w:fldChar w:fldCharType="begin"/>
      </w:r>
      <w:r>
        <w:instrText xml:space="preserve"> PAGEREF _Toc17053 \h </w:instrText>
      </w:r>
      <w:r>
        <w:fldChar w:fldCharType="separate"/>
      </w:r>
      <w:r>
        <w:t>31</w:t>
      </w:r>
      <w:r>
        <w:fldChar w:fldCharType="end"/>
      </w:r>
      <w:r>
        <w:rPr>
          <w:i w:val="0"/>
          <w:iCs w:val="0"/>
          <w:color w:val="auto"/>
          <w:szCs w:val="21"/>
          <w:highlight w:val="none"/>
        </w:rPr>
        <w:fldChar w:fldCharType="end"/>
      </w:r>
    </w:p>
    <w:p w14:paraId="2E143951">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_Toc27028 </w:instrText>
      </w:r>
      <w:r>
        <w:rPr>
          <w:i w:val="0"/>
          <w:iCs w:val="0"/>
          <w:szCs w:val="21"/>
          <w:highlight w:val="none"/>
        </w:rPr>
        <w:fldChar w:fldCharType="separate"/>
      </w:r>
      <w:r>
        <w:rPr>
          <w:rFonts w:hint="default" w:ascii="Arial" w:hAnsi="Arial" w:cs="Arial"/>
          <w:i w:val="0"/>
          <w:iCs w:val="0"/>
          <w:szCs w:val="22"/>
        </w:rPr>
        <w:t xml:space="preserve">8.2.1 </w:t>
      </w:r>
      <w:r>
        <w:rPr>
          <w:rFonts w:hint="eastAsia"/>
          <w:i w:val="0"/>
          <w:iCs w:val="0"/>
          <w:szCs w:val="22"/>
          <w:highlight w:val="none"/>
        </w:rPr>
        <w:t>招标人的责任</w:t>
      </w:r>
      <w:r>
        <w:tab/>
      </w:r>
      <w:r>
        <w:fldChar w:fldCharType="begin"/>
      </w:r>
      <w:r>
        <w:instrText xml:space="preserve"> PAGEREF _Toc27028 \h </w:instrText>
      </w:r>
      <w:r>
        <w:fldChar w:fldCharType="separate"/>
      </w:r>
      <w:r>
        <w:t>31</w:t>
      </w:r>
      <w:r>
        <w:fldChar w:fldCharType="end"/>
      </w:r>
      <w:r>
        <w:rPr>
          <w:i w:val="0"/>
          <w:iCs w:val="0"/>
          <w:color w:val="auto"/>
          <w:szCs w:val="21"/>
          <w:highlight w:val="none"/>
        </w:rPr>
        <w:fldChar w:fldCharType="end"/>
      </w:r>
    </w:p>
    <w:p w14:paraId="522E8692">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_Toc17435 </w:instrText>
      </w:r>
      <w:r>
        <w:rPr>
          <w:i w:val="0"/>
          <w:iCs w:val="0"/>
          <w:szCs w:val="21"/>
          <w:highlight w:val="none"/>
        </w:rPr>
        <w:fldChar w:fldCharType="separate"/>
      </w:r>
      <w:r>
        <w:rPr>
          <w:rFonts w:hint="default" w:ascii="Arial" w:hAnsi="Arial" w:cs="Arial"/>
          <w:i w:val="0"/>
          <w:iCs w:val="0"/>
          <w:szCs w:val="22"/>
        </w:rPr>
        <w:t xml:space="preserve">8.2.2 </w:t>
      </w:r>
      <w:r>
        <w:rPr>
          <w:rFonts w:hint="eastAsia"/>
          <w:i w:val="0"/>
          <w:iCs w:val="0"/>
          <w:szCs w:val="22"/>
          <w:highlight w:val="none"/>
        </w:rPr>
        <w:t>投标人的责任</w:t>
      </w:r>
      <w:r>
        <w:tab/>
      </w:r>
      <w:r>
        <w:fldChar w:fldCharType="begin"/>
      </w:r>
      <w:r>
        <w:instrText xml:space="preserve"> PAGEREF _Toc17435 \h </w:instrText>
      </w:r>
      <w:r>
        <w:fldChar w:fldCharType="separate"/>
      </w:r>
      <w:r>
        <w:t>31</w:t>
      </w:r>
      <w:r>
        <w:fldChar w:fldCharType="end"/>
      </w:r>
      <w:r>
        <w:rPr>
          <w:i w:val="0"/>
          <w:iCs w:val="0"/>
          <w:color w:val="auto"/>
          <w:szCs w:val="21"/>
          <w:highlight w:val="none"/>
        </w:rPr>
        <w:fldChar w:fldCharType="end"/>
      </w:r>
    </w:p>
    <w:p w14:paraId="0DA19CDC">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_Toc6196 </w:instrText>
      </w:r>
      <w:r>
        <w:rPr>
          <w:i w:val="0"/>
          <w:iCs w:val="0"/>
          <w:szCs w:val="21"/>
          <w:highlight w:val="none"/>
        </w:rPr>
        <w:fldChar w:fldCharType="separate"/>
      </w:r>
      <w:r>
        <w:rPr>
          <w:rFonts w:hint="default" w:ascii="Arial" w:hAnsi="Arial" w:cs="Arial"/>
          <w:i w:val="0"/>
          <w:iCs w:val="0"/>
          <w:szCs w:val="24"/>
        </w:rPr>
        <w:t xml:space="preserve">8.3 </w:t>
      </w:r>
      <w:r>
        <w:rPr>
          <w:rFonts w:hint="eastAsia"/>
          <w:i w:val="0"/>
          <w:iCs w:val="0"/>
          <w:szCs w:val="21"/>
          <w:highlight w:val="none"/>
        </w:rPr>
        <w:t>工程施工管理</w:t>
      </w:r>
      <w:r>
        <w:tab/>
      </w:r>
      <w:r>
        <w:fldChar w:fldCharType="begin"/>
      </w:r>
      <w:r>
        <w:instrText xml:space="preserve"> PAGEREF _Toc6196 \h </w:instrText>
      </w:r>
      <w:r>
        <w:fldChar w:fldCharType="separate"/>
      </w:r>
      <w:r>
        <w:t>35</w:t>
      </w:r>
      <w:r>
        <w:fldChar w:fldCharType="end"/>
      </w:r>
      <w:r>
        <w:rPr>
          <w:i w:val="0"/>
          <w:iCs w:val="0"/>
          <w:color w:val="auto"/>
          <w:szCs w:val="21"/>
          <w:highlight w:val="none"/>
        </w:rPr>
        <w:fldChar w:fldCharType="end"/>
      </w:r>
    </w:p>
    <w:p w14:paraId="7E4CD03D">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_Toc15122 </w:instrText>
      </w:r>
      <w:r>
        <w:rPr>
          <w:i w:val="0"/>
          <w:iCs w:val="0"/>
          <w:szCs w:val="21"/>
          <w:highlight w:val="none"/>
        </w:rPr>
        <w:fldChar w:fldCharType="separate"/>
      </w:r>
      <w:r>
        <w:rPr>
          <w:rFonts w:hint="default" w:ascii="Arial" w:hAnsi="Arial" w:cs="Arial"/>
          <w:i w:val="0"/>
          <w:iCs w:val="0"/>
          <w:szCs w:val="22"/>
        </w:rPr>
        <w:t xml:space="preserve">8.3.1 </w:t>
      </w:r>
      <w:r>
        <w:rPr>
          <w:rFonts w:hint="eastAsia"/>
          <w:i w:val="0"/>
          <w:iCs w:val="0"/>
          <w:szCs w:val="22"/>
          <w:highlight w:val="none"/>
        </w:rPr>
        <w:t>工程施工安装方案</w:t>
      </w:r>
      <w:r>
        <w:tab/>
      </w:r>
      <w:r>
        <w:fldChar w:fldCharType="begin"/>
      </w:r>
      <w:r>
        <w:instrText xml:space="preserve"> PAGEREF _Toc15122 \h </w:instrText>
      </w:r>
      <w:r>
        <w:fldChar w:fldCharType="separate"/>
      </w:r>
      <w:r>
        <w:t>35</w:t>
      </w:r>
      <w:r>
        <w:fldChar w:fldCharType="end"/>
      </w:r>
      <w:r>
        <w:rPr>
          <w:i w:val="0"/>
          <w:iCs w:val="0"/>
          <w:color w:val="auto"/>
          <w:szCs w:val="21"/>
          <w:highlight w:val="none"/>
        </w:rPr>
        <w:fldChar w:fldCharType="end"/>
      </w:r>
    </w:p>
    <w:p w14:paraId="7070CD9F">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_Toc22123 </w:instrText>
      </w:r>
      <w:r>
        <w:rPr>
          <w:i w:val="0"/>
          <w:iCs w:val="0"/>
          <w:szCs w:val="21"/>
          <w:highlight w:val="none"/>
        </w:rPr>
        <w:fldChar w:fldCharType="separate"/>
      </w:r>
      <w:r>
        <w:rPr>
          <w:rFonts w:hint="default" w:ascii="Arial" w:hAnsi="Arial" w:cs="Arial"/>
          <w:i w:val="0"/>
          <w:iCs w:val="0"/>
          <w:szCs w:val="22"/>
        </w:rPr>
        <w:t xml:space="preserve">8.3.2 </w:t>
      </w:r>
      <w:r>
        <w:rPr>
          <w:rFonts w:hint="eastAsia"/>
          <w:i w:val="0"/>
          <w:iCs w:val="0"/>
          <w:szCs w:val="22"/>
          <w:highlight w:val="none"/>
        </w:rPr>
        <w:t>施工场地和条件</w:t>
      </w:r>
      <w:r>
        <w:tab/>
      </w:r>
      <w:r>
        <w:fldChar w:fldCharType="begin"/>
      </w:r>
      <w:r>
        <w:instrText xml:space="preserve"> PAGEREF _Toc22123 \h </w:instrText>
      </w:r>
      <w:r>
        <w:fldChar w:fldCharType="separate"/>
      </w:r>
      <w:r>
        <w:t>35</w:t>
      </w:r>
      <w:r>
        <w:fldChar w:fldCharType="end"/>
      </w:r>
      <w:r>
        <w:rPr>
          <w:i w:val="0"/>
          <w:iCs w:val="0"/>
          <w:color w:val="auto"/>
          <w:szCs w:val="21"/>
          <w:highlight w:val="none"/>
        </w:rPr>
        <w:fldChar w:fldCharType="end"/>
      </w:r>
    </w:p>
    <w:p w14:paraId="453467CF">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_Toc5175 </w:instrText>
      </w:r>
      <w:r>
        <w:rPr>
          <w:i w:val="0"/>
          <w:iCs w:val="0"/>
          <w:szCs w:val="21"/>
          <w:highlight w:val="none"/>
        </w:rPr>
        <w:fldChar w:fldCharType="separate"/>
      </w:r>
      <w:r>
        <w:rPr>
          <w:rFonts w:hint="default" w:ascii="Arial" w:hAnsi="Arial" w:cs="Arial"/>
          <w:i w:val="0"/>
          <w:iCs w:val="0"/>
          <w:szCs w:val="22"/>
        </w:rPr>
        <w:t xml:space="preserve">8.3.3 </w:t>
      </w:r>
      <w:r>
        <w:rPr>
          <w:rFonts w:hint="eastAsia"/>
          <w:i w:val="0"/>
          <w:iCs w:val="0"/>
          <w:szCs w:val="22"/>
          <w:highlight w:val="none"/>
        </w:rPr>
        <w:t>施工准备</w:t>
      </w:r>
      <w:r>
        <w:tab/>
      </w:r>
      <w:r>
        <w:fldChar w:fldCharType="begin"/>
      </w:r>
      <w:r>
        <w:instrText xml:space="preserve"> PAGEREF _Toc5175 \h </w:instrText>
      </w:r>
      <w:r>
        <w:fldChar w:fldCharType="separate"/>
      </w:r>
      <w:r>
        <w:t>37</w:t>
      </w:r>
      <w:r>
        <w:fldChar w:fldCharType="end"/>
      </w:r>
      <w:r>
        <w:rPr>
          <w:i w:val="0"/>
          <w:iCs w:val="0"/>
          <w:color w:val="auto"/>
          <w:szCs w:val="21"/>
          <w:highlight w:val="none"/>
        </w:rPr>
        <w:fldChar w:fldCharType="end"/>
      </w:r>
    </w:p>
    <w:p w14:paraId="745EB275">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_Toc6206 </w:instrText>
      </w:r>
      <w:r>
        <w:rPr>
          <w:i w:val="0"/>
          <w:iCs w:val="0"/>
          <w:szCs w:val="21"/>
          <w:highlight w:val="none"/>
        </w:rPr>
        <w:fldChar w:fldCharType="separate"/>
      </w:r>
      <w:r>
        <w:rPr>
          <w:rFonts w:hint="default" w:ascii="Arial" w:hAnsi="Arial" w:cs="Arial"/>
          <w:i w:val="0"/>
          <w:iCs w:val="0"/>
          <w:szCs w:val="22"/>
        </w:rPr>
        <w:t xml:space="preserve">8.3.4 </w:t>
      </w:r>
      <w:r>
        <w:rPr>
          <w:rFonts w:hint="eastAsia"/>
          <w:i w:val="0"/>
          <w:iCs w:val="0"/>
          <w:szCs w:val="22"/>
          <w:highlight w:val="none"/>
        </w:rPr>
        <w:t>设备材料到货检查</w:t>
      </w:r>
      <w:r>
        <w:tab/>
      </w:r>
      <w:r>
        <w:fldChar w:fldCharType="begin"/>
      </w:r>
      <w:r>
        <w:instrText xml:space="preserve"> PAGEREF _Toc6206 \h </w:instrText>
      </w:r>
      <w:r>
        <w:fldChar w:fldCharType="separate"/>
      </w:r>
      <w:r>
        <w:t>37</w:t>
      </w:r>
      <w:r>
        <w:fldChar w:fldCharType="end"/>
      </w:r>
      <w:r>
        <w:rPr>
          <w:i w:val="0"/>
          <w:iCs w:val="0"/>
          <w:color w:val="auto"/>
          <w:szCs w:val="21"/>
          <w:highlight w:val="none"/>
        </w:rPr>
        <w:fldChar w:fldCharType="end"/>
      </w:r>
    </w:p>
    <w:p w14:paraId="2DE56697">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_Toc19731 </w:instrText>
      </w:r>
      <w:r>
        <w:rPr>
          <w:i w:val="0"/>
          <w:iCs w:val="0"/>
          <w:szCs w:val="21"/>
          <w:highlight w:val="none"/>
        </w:rPr>
        <w:fldChar w:fldCharType="separate"/>
      </w:r>
      <w:r>
        <w:rPr>
          <w:rFonts w:hint="default" w:ascii="Arial" w:hAnsi="Arial" w:cs="Arial"/>
          <w:i w:val="0"/>
          <w:iCs w:val="0"/>
          <w:szCs w:val="22"/>
        </w:rPr>
        <w:t xml:space="preserve">8.3.5 </w:t>
      </w:r>
      <w:r>
        <w:rPr>
          <w:rFonts w:hint="eastAsia"/>
          <w:i w:val="0"/>
          <w:iCs w:val="0"/>
          <w:szCs w:val="22"/>
          <w:highlight w:val="none"/>
        </w:rPr>
        <w:t>设备材料现场保管和维护</w:t>
      </w:r>
      <w:r>
        <w:tab/>
      </w:r>
      <w:r>
        <w:fldChar w:fldCharType="begin"/>
      </w:r>
      <w:r>
        <w:instrText xml:space="preserve"> PAGEREF _Toc19731 \h </w:instrText>
      </w:r>
      <w:r>
        <w:fldChar w:fldCharType="separate"/>
      </w:r>
      <w:r>
        <w:t>37</w:t>
      </w:r>
      <w:r>
        <w:fldChar w:fldCharType="end"/>
      </w:r>
      <w:r>
        <w:rPr>
          <w:i w:val="0"/>
          <w:iCs w:val="0"/>
          <w:color w:val="auto"/>
          <w:szCs w:val="21"/>
          <w:highlight w:val="none"/>
        </w:rPr>
        <w:fldChar w:fldCharType="end"/>
      </w:r>
    </w:p>
    <w:p w14:paraId="0C9EDEAC">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_Toc16453 </w:instrText>
      </w:r>
      <w:r>
        <w:rPr>
          <w:i w:val="0"/>
          <w:iCs w:val="0"/>
          <w:szCs w:val="21"/>
          <w:highlight w:val="none"/>
        </w:rPr>
        <w:fldChar w:fldCharType="separate"/>
      </w:r>
      <w:r>
        <w:rPr>
          <w:rFonts w:hint="default" w:ascii="Arial" w:hAnsi="Arial" w:cs="Arial"/>
          <w:i w:val="0"/>
          <w:iCs w:val="0"/>
          <w:szCs w:val="22"/>
          <w:lang w:val="en-US"/>
        </w:rPr>
        <w:t xml:space="preserve">8.3.6 </w:t>
      </w:r>
      <w:r>
        <w:rPr>
          <w:rFonts w:hint="eastAsia"/>
          <w:i w:val="0"/>
          <w:iCs w:val="0"/>
          <w:szCs w:val="22"/>
          <w:highlight w:val="none"/>
          <w:lang w:val="en-US"/>
        </w:rPr>
        <w:t>安全文明施工</w:t>
      </w:r>
      <w:r>
        <w:tab/>
      </w:r>
      <w:r>
        <w:fldChar w:fldCharType="begin"/>
      </w:r>
      <w:r>
        <w:instrText xml:space="preserve"> PAGEREF _Toc16453 \h </w:instrText>
      </w:r>
      <w:r>
        <w:fldChar w:fldCharType="separate"/>
      </w:r>
      <w:r>
        <w:t>38</w:t>
      </w:r>
      <w:r>
        <w:fldChar w:fldCharType="end"/>
      </w:r>
      <w:r>
        <w:rPr>
          <w:i w:val="0"/>
          <w:iCs w:val="0"/>
          <w:color w:val="auto"/>
          <w:szCs w:val="21"/>
          <w:highlight w:val="none"/>
        </w:rPr>
        <w:fldChar w:fldCharType="end"/>
      </w:r>
    </w:p>
    <w:p w14:paraId="295996AC">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_Toc29773 </w:instrText>
      </w:r>
      <w:r>
        <w:rPr>
          <w:i w:val="0"/>
          <w:iCs w:val="0"/>
          <w:szCs w:val="21"/>
          <w:highlight w:val="none"/>
        </w:rPr>
        <w:fldChar w:fldCharType="separate"/>
      </w:r>
      <w:r>
        <w:rPr>
          <w:rFonts w:hint="default" w:ascii="Arial" w:hAnsi="Arial" w:cs="Arial"/>
          <w:i w:val="0"/>
          <w:iCs w:val="0"/>
          <w:szCs w:val="22"/>
        </w:rPr>
        <w:t xml:space="preserve">8.3.7 </w:t>
      </w:r>
      <w:r>
        <w:rPr>
          <w:rFonts w:hint="eastAsia"/>
          <w:i w:val="0"/>
          <w:iCs w:val="0"/>
          <w:szCs w:val="22"/>
          <w:highlight w:val="none"/>
        </w:rPr>
        <w:t>工程临时管理</w:t>
      </w:r>
      <w:r>
        <w:tab/>
      </w:r>
      <w:r>
        <w:fldChar w:fldCharType="begin"/>
      </w:r>
      <w:r>
        <w:instrText xml:space="preserve"> PAGEREF _Toc29773 \h </w:instrText>
      </w:r>
      <w:r>
        <w:fldChar w:fldCharType="separate"/>
      </w:r>
      <w:r>
        <w:t>40</w:t>
      </w:r>
      <w:r>
        <w:fldChar w:fldCharType="end"/>
      </w:r>
      <w:r>
        <w:rPr>
          <w:i w:val="0"/>
          <w:iCs w:val="0"/>
          <w:color w:val="auto"/>
          <w:szCs w:val="21"/>
          <w:highlight w:val="none"/>
        </w:rPr>
        <w:fldChar w:fldCharType="end"/>
      </w:r>
    </w:p>
    <w:p w14:paraId="10EE9399">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_Toc10062 </w:instrText>
      </w:r>
      <w:r>
        <w:rPr>
          <w:i w:val="0"/>
          <w:iCs w:val="0"/>
          <w:szCs w:val="21"/>
          <w:highlight w:val="none"/>
        </w:rPr>
        <w:fldChar w:fldCharType="separate"/>
      </w:r>
      <w:r>
        <w:rPr>
          <w:rFonts w:hint="default" w:ascii="Arial" w:hAnsi="Arial" w:cs="Arial"/>
          <w:i w:val="0"/>
          <w:iCs w:val="0"/>
          <w:szCs w:val="22"/>
        </w:rPr>
        <w:t xml:space="preserve">8.3.8 </w:t>
      </w:r>
      <w:r>
        <w:rPr>
          <w:rFonts w:hint="eastAsia"/>
          <w:i w:val="0"/>
          <w:iCs w:val="0"/>
          <w:szCs w:val="22"/>
          <w:highlight w:val="none"/>
        </w:rPr>
        <w:t>施工人员资质规定</w:t>
      </w:r>
      <w:r>
        <w:tab/>
      </w:r>
      <w:r>
        <w:fldChar w:fldCharType="begin"/>
      </w:r>
      <w:r>
        <w:instrText xml:space="preserve"> PAGEREF _Toc10062 \h </w:instrText>
      </w:r>
      <w:r>
        <w:fldChar w:fldCharType="separate"/>
      </w:r>
      <w:r>
        <w:t>41</w:t>
      </w:r>
      <w:r>
        <w:fldChar w:fldCharType="end"/>
      </w:r>
      <w:r>
        <w:rPr>
          <w:i w:val="0"/>
          <w:iCs w:val="0"/>
          <w:color w:val="auto"/>
          <w:szCs w:val="21"/>
          <w:highlight w:val="none"/>
        </w:rPr>
        <w:fldChar w:fldCharType="end"/>
      </w:r>
    </w:p>
    <w:p w14:paraId="4B1B7EB8">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_Toc31024 </w:instrText>
      </w:r>
      <w:r>
        <w:rPr>
          <w:i w:val="0"/>
          <w:iCs w:val="0"/>
          <w:szCs w:val="21"/>
          <w:highlight w:val="none"/>
        </w:rPr>
        <w:fldChar w:fldCharType="separate"/>
      </w:r>
      <w:r>
        <w:rPr>
          <w:rFonts w:hint="default" w:ascii="Arial" w:hAnsi="Arial" w:cs="Arial"/>
          <w:i w:val="0"/>
          <w:iCs w:val="0"/>
          <w:szCs w:val="22"/>
        </w:rPr>
        <w:t xml:space="preserve">8.3.9 </w:t>
      </w:r>
      <w:r>
        <w:rPr>
          <w:rFonts w:hint="eastAsia"/>
          <w:i w:val="0"/>
          <w:iCs w:val="0"/>
          <w:szCs w:val="22"/>
          <w:highlight w:val="none"/>
        </w:rPr>
        <w:t>施工质量控制</w:t>
      </w:r>
      <w:r>
        <w:tab/>
      </w:r>
      <w:r>
        <w:fldChar w:fldCharType="begin"/>
      </w:r>
      <w:r>
        <w:instrText xml:space="preserve"> PAGEREF _Toc31024 \h </w:instrText>
      </w:r>
      <w:r>
        <w:fldChar w:fldCharType="separate"/>
      </w:r>
      <w:r>
        <w:t>41</w:t>
      </w:r>
      <w:r>
        <w:fldChar w:fldCharType="end"/>
      </w:r>
      <w:r>
        <w:rPr>
          <w:i w:val="0"/>
          <w:iCs w:val="0"/>
          <w:color w:val="auto"/>
          <w:szCs w:val="21"/>
          <w:highlight w:val="none"/>
        </w:rPr>
        <w:fldChar w:fldCharType="end"/>
      </w:r>
    </w:p>
    <w:p w14:paraId="4E26ABCB">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_Toc31303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9. </w:t>
      </w:r>
      <w:r>
        <w:rPr>
          <w:rFonts w:hint="eastAsia"/>
          <w:i w:val="0"/>
          <w:iCs w:val="0"/>
          <w:szCs w:val="32"/>
          <w:highlight w:val="none"/>
        </w:rPr>
        <w:t>软件管理</w:t>
      </w:r>
      <w:r>
        <w:tab/>
      </w:r>
      <w:r>
        <w:fldChar w:fldCharType="begin"/>
      </w:r>
      <w:r>
        <w:instrText xml:space="preserve"> PAGEREF _Toc31303 \h </w:instrText>
      </w:r>
      <w:r>
        <w:fldChar w:fldCharType="separate"/>
      </w:r>
      <w:r>
        <w:t>43</w:t>
      </w:r>
      <w:r>
        <w:fldChar w:fldCharType="end"/>
      </w:r>
      <w:r>
        <w:rPr>
          <w:i w:val="0"/>
          <w:iCs w:val="0"/>
          <w:color w:val="auto"/>
          <w:szCs w:val="21"/>
          <w:highlight w:val="none"/>
        </w:rPr>
        <w:fldChar w:fldCharType="end"/>
      </w:r>
    </w:p>
    <w:p w14:paraId="655CEFEB">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_Toc11394 </w:instrText>
      </w:r>
      <w:r>
        <w:rPr>
          <w:i w:val="0"/>
          <w:iCs w:val="0"/>
          <w:szCs w:val="21"/>
          <w:highlight w:val="none"/>
        </w:rPr>
        <w:fldChar w:fldCharType="separate"/>
      </w:r>
      <w:r>
        <w:rPr>
          <w:rFonts w:hint="default" w:ascii="Arial" w:hAnsi="Arial" w:cs="Arial"/>
          <w:i w:val="0"/>
          <w:iCs w:val="0"/>
          <w:szCs w:val="24"/>
        </w:rPr>
        <w:t xml:space="preserve">9.1 </w:t>
      </w:r>
      <w:r>
        <w:rPr>
          <w:rFonts w:hint="eastAsia"/>
          <w:i w:val="0"/>
          <w:iCs w:val="0"/>
          <w:szCs w:val="21"/>
          <w:highlight w:val="none"/>
        </w:rPr>
        <w:t>设计规范及标准</w:t>
      </w:r>
      <w:r>
        <w:tab/>
      </w:r>
      <w:r>
        <w:fldChar w:fldCharType="begin"/>
      </w:r>
      <w:r>
        <w:instrText xml:space="preserve"> PAGEREF _Toc11394 \h </w:instrText>
      </w:r>
      <w:r>
        <w:fldChar w:fldCharType="separate"/>
      </w:r>
      <w:r>
        <w:t>43</w:t>
      </w:r>
      <w:r>
        <w:fldChar w:fldCharType="end"/>
      </w:r>
      <w:r>
        <w:rPr>
          <w:i w:val="0"/>
          <w:iCs w:val="0"/>
          <w:color w:val="auto"/>
          <w:szCs w:val="21"/>
          <w:highlight w:val="none"/>
        </w:rPr>
        <w:fldChar w:fldCharType="end"/>
      </w:r>
    </w:p>
    <w:p w14:paraId="1037FEF4">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_Toc26689 </w:instrText>
      </w:r>
      <w:r>
        <w:rPr>
          <w:i w:val="0"/>
          <w:iCs w:val="0"/>
          <w:szCs w:val="21"/>
          <w:highlight w:val="none"/>
        </w:rPr>
        <w:fldChar w:fldCharType="separate"/>
      </w:r>
      <w:r>
        <w:rPr>
          <w:rFonts w:hint="default" w:ascii="Arial" w:hAnsi="Arial" w:cs="Arial"/>
          <w:i w:val="0"/>
          <w:iCs w:val="0"/>
          <w:szCs w:val="24"/>
        </w:rPr>
        <w:t xml:space="preserve">9.2 </w:t>
      </w:r>
      <w:r>
        <w:rPr>
          <w:rFonts w:hint="eastAsia"/>
          <w:i w:val="0"/>
          <w:iCs w:val="0"/>
          <w:szCs w:val="21"/>
          <w:highlight w:val="none"/>
        </w:rPr>
        <w:t>软件生命周期</w:t>
      </w:r>
      <w:r>
        <w:tab/>
      </w:r>
      <w:r>
        <w:fldChar w:fldCharType="begin"/>
      </w:r>
      <w:r>
        <w:instrText xml:space="preserve"> PAGEREF _Toc26689 \h </w:instrText>
      </w:r>
      <w:r>
        <w:fldChar w:fldCharType="separate"/>
      </w:r>
      <w:r>
        <w:t>43</w:t>
      </w:r>
      <w:r>
        <w:fldChar w:fldCharType="end"/>
      </w:r>
      <w:r>
        <w:rPr>
          <w:i w:val="0"/>
          <w:iCs w:val="0"/>
          <w:color w:val="auto"/>
          <w:szCs w:val="21"/>
          <w:highlight w:val="none"/>
        </w:rPr>
        <w:fldChar w:fldCharType="end"/>
      </w:r>
    </w:p>
    <w:p w14:paraId="166C6654">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_Toc9443 </w:instrText>
      </w:r>
      <w:r>
        <w:rPr>
          <w:i w:val="0"/>
          <w:iCs w:val="0"/>
          <w:szCs w:val="21"/>
          <w:highlight w:val="none"/>
        </w:rPr>
        <w:fldChar w:fldCharType="separate"/>
      </w:r>
      <w:r>
        <w:rPr>
          <w:rFonts w:hint="default" w:ascii="Arial" w:hAnsi="Arial" w:cs="Arial"/>
          <w:i w:val="0"/>
          <w:iCs w:val="0"/>
          <w:szCs w:val="22"/>
        </w:rPr>
        <w:t xml:space="preserve">9.2.1 </w:t>
      </w:r>
      <w:r>
        <w:rPr>
          <w:rFonts w:hint="eastAsia"/>
          <w:i w:val="0"/>
          <w:iCs w:val="0"/>
          <w:szCs w:val="22"/>
          <w:highlight w:val="none"/>
        </w:rPr>
        <w:t>软件配置管理</w:t>
      </w:r>
      <w:r>
        <w:tab/>
      </w:r>
      <w:r>
        <w:fldChar w:fldCharType="begin"/>
      </w:r>
      <w:r>
        <w:instrText xml:space="preserve"> PAGEREF _Toc9443 \h </w:instrText>
      </w:r>
      <w:r>
        <w:fldChar w:fldCharType="separate"/>
      </w:r>
      <w:r>
        <w:t>43</w:t>
      </w:r>
      <w:r>
        <w:fldChar w:fldCharType="end"/>
      </w:r>
      <w:r>
        <w:rPr>
          <w:i w:val="0"/>
          <w:iCs w:val="0"/>
          <w:color w:val="auto"/>
          <w:szCs w:val="21"/>
          <w:highlight w:val="none"/>
        </w:rPr>
        <w:fldChar w:fldCharType="end"/>
      </w:r>
    </w:p>
    <w:p w14:paraId="45CCBF88">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_Toc10702 </w:instrText>
      </w:r>
      <w:r>
        <w:rPr>
          <w:i w:val="0"/>
          <w:iCs w:val="0"/>
          <w:szCs w:val="21"/>
          <w:highlight w:val="none"/>
        </w:rPr>
        <w:fldChar w:fldCharType="separate"/>
      </w:r>
      <w:r>
        <w:rPr>
          <w:rFonts w:hint="default" w:ascii="Arial" w:hAnsi="Arial" w:cs="Arial"/>
          <w:i w:val="0"/>
          <w:iCs w:val="0"/>
          <w:szCs w:val="22"/>
        </w:rPr>
        <w:t xml:space="preserve">9.2.2 </w:t>
      </w:r>
      <w:r>
        <w:rPr>
          <w:rFonts w:hint="eastAsia"/>
          <w:i w:val="0"/>
          <w:iCs w:val="0"/>
          <w:szCs w:val="22"/>
          <w:highlight w:val="none"/>
        </w:rPr>
        <w:t>软件设计</w:t>
      </w:r>
      <w:r>
        <w:tab/>
      </w:r>
      <w:r>
        <w:fldChar w:fldCharType="begin"/>
      </w:r>
      <w:r>
        <w:instrText xml:space="preserve"> PAGEREF _Toc10702 \h </w:instrText>
      </w:r>
      <w:r>
        <w:fldChar w:fldCharType="separate"/>
      </w:r>
      <w:r>
        <w:t>43</w:t>
      </w:r>
      <w:r>
        <w:fldChar w:fldCharType="end"/>
      </w:r>
      <w:r>
        <w:rPr>
          <w:i w:val="0"/>
          <w:iCs w:val="0"/>
          <w:color w:val="auto"/>
          <w:szCs w:val="21"/>
          <w:highlight w:val="none"/>
        </w:rPr>
        <w:fldChar w:fldCharType="end"/>
      </w:r>
    </w:p>
    <w:p w14:paraId="4F8436A3">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_Toc2891 </w:instrText>
      </w:r>
      <w:r>
        <w:rPr>
          <w:i w:val="0"/>
          <w:iCs w:val="0"/>
          <w:szCs w:val="21"/>
          <w:highlight w:val="none"/>
        </w:rPr>
        <w:fldChar w:fldCharType="separate"/>
      </w:r>
      <w:r>
        <w:rPr>
          <w:rFonts w:hint="default" w:ascii="Arial" w:hAnsi="Arial" w:cs="Arial"/>
          <w:i w:val="0"/>
          <w:iCs w:val="0"/>
          <w:szCs w:val="22"/>
        </w:rPr>
        <w:t xml:space="preserve">9.2.3 </w:t>
      </w:r>
      <w:r>
        <w:rPr>
          <w:rFonts w:hint="eastAsia"/>
          <w:i w:val="0"/>
          <w:iCs w:val="0"/>
          <w:szCs w:val="22"/>
          <w:highlight w:val="none"/>
        </w:rPr>
        <w:t>软件开发或软件获取</w:t>
      </w:r>
      <w:r>
        <w:tab/>
      </w:r>
      <w:r>
        <w:fldChar w:fldCharType="begin"/>
      </w:r>
      <w:r>
        <w:instrText xml:space="preserve"> PAGEREF _Toc2891 \h </w:instrText>
      </w:r>
      <w:r>
        <w:fldChar w:fldCharType="separate"/>
      </w:r>
      <w:r>
        <w:t>44</w:t>
      </w:r>
      <w:r>
        <w:fldChar w:fldCharType="end"/>
      </w:r>
      <w:r>
        <w:rPr>
          <w:i w:val="0"/>
          <w:iCs w:val="0"/>
          <w:color w:val="auto"/>
          <w:szCs w:val="21"/>
          <w:highlight w:val="none"/>
        </w:rPr>
        <w:fldChar w:fldCharType="end"/>
      </w:r>
    </w:p>
    <w:p w14:paraId="45AB41BA">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_Toc29703 </w:instrText>
      </w:r>
      <w:r>
        <w:rPr>
          <w:i w:val="0"/>
          <w:iCs w:val="0"/>
          <w:szCs w:val="21"/>
          <w:highlight w:val="none"/>
        </w:rPr>
        <w:fldChar w:fldCharType="separate"/>
      </w:r>
      <w:r>
        <w:rPr>
          <w:rFonts w:hint="default" w:ascii="Arial" w:hAnsi="Arial" w:cs="Arial"/>
          <w:i w:val="0"/>
          <w:iCs w:val="0"/>
          <w:szCs w:val="22"/>
        </w:rPr>
        <w:t xml:space="preserve">9.2.4 </w:t>
      </w:r>
      <w:r>
        <w:rPr>
          <w:rFonts w:hint="eastAsia"/>
          <w:i w:val="0"/>
          <w:iCs w:val="0"/>
          <w:szCs w:val="22"/>
          <w:highlight w:val="none"/>
        </w:rPr>
        <w:t>软件安装，测试及验收</w:t>
      </w:r>
      <w:r>
        <w:tab/>
      </w:r>
      <w:r>
        <w:fldChar w:fldCharType="begin"/>
      </w:r>
      <w:r>
        <w:instrText xml:space="preserve"> PAGEREF _Toc29703 \h </w:instrText>
      </w:r>
      <w:r>
        <w:fldChar w:fldCharType="separate"/>
      </w:r>
      <w:r>
        <w:t>46</w:t>
      </w:r>
      <w:r>
        <w:fldChar w:fldCharType="end"/>
      </w:r>
      <w:r>
        <w:rPr>
          <w:i w:val="0"/>
          <w:iCs w:val="0"/>
          <w:color w:val="auto"/>
          <w:szCs w:val="21"/>
          <w:highlight w:val="none"/>
        </w:rPr>
        <w:fldChar w:fldCharType="end"/>
      </w:r>
    </w:p>
    <w:p w14:paraId="5298954B">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_Toc14440 </w:instrText>
      </w:r>
      <w:r>
        <w:rPr>
          <w:i w:val="0"/>
          <w:iCs w:val="0"/>
          <w:szCs w:val="21"/>
          <w:highlight w:val="none"/>
        </w:rPr>
        <w:fldChar w:fldCharType="separate"/>
      </w:r>
      <w:r>
        <w:rPr>
          <w:rFonts w:hint="default" w:ascii="Arial" w:hAnsi="Arial" w:cs="Arial"/>
          <w:i w:val="0"/>
          <w:iCs w:val="0"/>
          <w:szCs w:val="22"/>
        </w:rPr>
        <w:t xml:space="preserve">9.2.5 </w:t>
      </w:r>
      <w:r>
        <w:rPr>
          <w:rFonts w:hint="eastAsia"/>
          <w:i w:val="0"/>
          <w:iCs w:val="0"/>
          <w:szCs w:val="22"/>
          <w:highlight w:val="none"/>
        </w:rPr>
        <w:t>软件项目功能验收</w:t>
      </w:r>
      <w:r>
        <w:tab/>
      </w:r>
      <w:r>
        <w:fldChar w:fldCharType="begin"/>
      </w:r>
      <w:r>
        <w:instrText xml:space="preserve"> PAGEREF _Toc14440 \h </w:instrText>
      </w:r>
      <w:r>
        <w:fldChar w:fldCharType="separate"/>
      </w:r>
      <w:r>
        <w:t>47</w:t>
      </w:r>
      <w:r>
        <w:fldChar w:fldCharType="end"/>
      </w:r>
      <w:r>
        <w:rPr>
          <w:i w:val="0"/>
          <w:iCs w:val="0"/>
          <w:color w:val="auto"/>
          <w:szCs w:val="21"/>
          <w:highlight w:val="none"/>
        </w:rPr>
        <w:fldChar w:fldCharType="end"/>
      </w:r>
    </w:p>
    <w:p w14:paraId="47F6963D">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_Toc15608 </w:instrText>
      </w:r>
      <w:r>
        <w:rPr>
          <w:i w:val="0"/>
          <w:iCs w:val="0"/>
          <w:szCs w:val="21"/>
          <w:highlight w:val="none"/>
        </w:rPr>
        <w:fldChar w:fldCharType="separate"/>
      </w:r>
      <w:r>
        <w:rPr>
          <w:rFonts w:hint="default" w:ascii="Arial" w:hAnsi="Arial" w:cs="Arial"/>
          <w:i w:val="0"/>
          <w:iCs w:val="0"/>
          <w:szCs w:val="22"/>
        </w:rPr>
        <w:t xml:space="preserve">9.2.6 </w:t>
      </w:r>
      <w:r>
        <w:rPr>
          <w:rFonts w:hint="eastAsia"/>
          <w:i w:val="0"/>
          <w:iCs w:val="0"/>
          <w:szCs w:val="22"/>
          <w:highlight w:val="none"/>
        </w:rPr>
        <w:t>软件交付</w:t>
      </w:r>
      <w:r>
        <w:rPr>
          <w:rFonts w:hint="eastAsia"/>
          <w:i w:val="0"/>
          <w:iCs w:val="0"/>
          <w:szCs w:val="22"/>
          <w:highlight w:val="none"/>
          <w:lang w:eastAsia="zh-CN"/>
        </w:rPr>
        <w:t>、</w:t>
      </w:r>
      <w:r>
        <w:rPr>
          <w:rFonts w:hint="eastAsia"/>
          <w:i w:val="0"/>
          <w:iCs w:val="0"/>
          <w:szCs w:val="22"/>
          <w:highlight w:val="none"/>
        </w:rPr>
        <w:t>运行和维护</w:t>
      </w:r>
      <w:r>
        <w:tab/>
      </w:r>
      <w:r>
        <w:fldChar w:fldCharType="begin"/>
      </w:r>
      <w:r>
        <w:instrText xml:space="preserve"> PAGEREF _Toc15608 \h </w:instrText>
      </w:r>
      <w:r>
        <w:fldChar w:fldCharType="separate"/>
      </w:r>
      <w:r>
        <w:t>47</w:t>
      </w:r>
      <w:r>
        <w:fldChar w:fldCharType="end"/>
      </w:r>
      <w:r>
        <w:rPr>
          <w:i w:val="0"/>
          <w:iCs w:val="0"/>
          <w:color w:val="auto"/>
          <w:szCs w:val="21"/>
          <w:highlight w:val="none"/>
        </w:rPr>
        <w:fldChar w:fldCharType="end"/>
      </w:r>
    </w:p>
    <w:p w14:paraId="200ED180">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_Toc4576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10. </w:t>
      </w:r>
      <w:r>
        <w:rPr>
          <w:rFonts w:hint="eastAsia"/>
          <w:i w:val="0"/>
          <w:iCs w:val="0"/>
          <w:szCs w:val="32"/>
          <w:highlight w:val="none"/>
        </w:rPr>
        <w:t>技术文件及图纸</w:t>
      </w:r>
      <w:r>
        <w:tab/>
      </w:r>
      <w:r>
        <w:fldChar w:fldCharType="begin"/>
      </w:r>
      <w:r>
        <w:instrText xml:space="preserve"> PAGEREF _Toc4576 \h </w:instrText>
      </w:r>
      <w:r>
        <w:fldChar w:fldCharType="separate"/>
      </w:r>
      <w:r>
        <w:t>49</w:t>
      </w:r>
      <w:r>
        <w:fldChar w:fldCharType="end"/>
      </w:r>
      <w:r>
        <w:rPr>
          <w:i w:val="0"/>
          <w:iCs w:val="0"/>
          <w:color w:val="auto"/>
          <w:szCs w:val="21"/>
          <w:highlight w:val="none"/>
        </w:rPr>
        <w:fldChar w:fldCharType="end"/>
      </w:r>
    </w:p>
    <w:p w14:paraId="71FAC4B5">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_Toc9292 </w:instrText>
      </w:r>
      <w:r>
        <w:rPr>
          <w:i w:val="0"/>
          <w:iCs w:val="0"/>
          <w:szCs w:val="21"/>
          <w:highlight w:val="none"/>
        </w:rPr>
        <w:fldChar w:fldCharType="separate"/>
      </w:r>
      <w:r>
        <w:rPr>
          <w:rFonts w:hint="default" w:ascii="Arial" w:hAnsi="Arial" w:cs="Arial"/>
          <w:i w:val="0"/>
          <w:iCs w:val="0"/>
          <w:szCs w:val="24"/>
        </w:rPr>
        <w:t xml:space="preserve">10.1 </w:t>
      </w:r>
      <w:r>
        <w:rPr>
          <w:rFonts w:hint="eastAsia"/>
          <w:i w:val="0"/>
          <w:iCs w:val="0"/>
          <w:szCs w:val="21"/>
          <w:highlight w:val="none"/>
        </w:rPr>
        <w:t>一般要求</w:t>
      </w:r>
      <w:r>
        <w:tab/>
      </w:r>
      <w:r>
        <w:fldChar w:fldCharType="begin"/>
      </w:r>
      <w:r>
        <w:instrText xml:space="preserve"> PAGEREF _Toc9292 \h </w:instrText>
      </w:r>
      <w:r>
        <w:fldChar w:fldCharType="separate"/>
      </w:r>
      <w:r>
        <w:t>49</w:t>
      </w:r>
      <w:r>
        <w:fldChar w:fldCharType="end"/>
      </w:r>
      <w:r>
        <w:rPr>
          <w:i w:val="0"/>
          <w:iCs w:val="0"/>
          <w:color w:val="auto"/>
          <w:szCs w:val="21"/>
          <w:highlight w:val="none"/>
        </w:rPr>
        <w:fldChar w:fldCharType="end"/>
      </w:r>
    </w:p>
    <w:p w14:paraId="1645233D">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_Toc20174 </w:instrText>
      </w:r>
      <w:r>
        <w:rPr>
          <w:i w:val="0"/>
          <w:iCs w:val="0"/>
          <w:szCs w:val="21"/>
          <w:highlight w:val="none"/>
        </w:rPr>
        <w:fldChar w:fldCharType="separate"/>
      </w:r>
      <w:r>
        <w:rPr>
          <w:rFonts w:hint="default" w:ascii="Arial" w:hAnsi="Arial" w:cs="Arial"/>
          <w:i w:val="0"/>
          <w:iCs w:val="0"/>
          <w:szCs w:val="24"/>
        </w:rPr>
        <w:t xml:space="preserve">10.2 </w:t>
      </w:r>
      <w:r>
        <w:rPr>
          <w:rFonts w:hint="eastAsia"/>
          <w:i w:val="0"/>
          <w:iCs w:val="0"/>
          <w:szCs w:val="21"/>
          <w:highlight w:val="none"/>
        </w:rPr>
        <w:t>图纸、手册和技术文件的确认</w:t>
      </w:r>
      <w:r>
        <w:tab/>
      </w:r>
      <w:r>
        <w:fldChar w:fldCharType="begin"/>
      </w:r>
      <w:r>
        <w:instrText xml:space="preserve"> PAGEREF _Toc20174 \h </w:instrText>
      </w:r>
      <w:r>
        <w:fldChar w:fldCharType="separate"/>
      </w:r>
      <w:r>
        <w:t>51</w:t>
      </w:r>
      <w:r>
        <w:fldChar w:fldCharType="end"/>
      </w:r>
      <w:r>
        <w:rPr>
          <w:i w:val="0"/>
          <w:iCs w:val="0"/>
          <w:color w:val="auto"/>
          <w:szCs w:val="21"/>
          <w:highlight w:val="none"/>
        </w:rPr>
        <w:fldChar w:fldCharType="end"/>
      </w:r>
    </w:p>
    <w:p w14:paraId="5CDF4715">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_Toc10855 </w:instrText>
      </w:r>
      <w:r>
        <w:rPr>
          <w:i w:val="0"/>
          <w:iCs w:val="0"/>
          <w:szCs w:val="21"/>
          <w:highlight w:val="none"/>
        </w:rPr>
        <w:fldChar w:fldCharType="separate"/>
      </w:r>
      <w:r>
        <w:rPr>
          <w:rFonts w:hint="default" w:ascii="Arial" w:hAnsi="Arial" w:cs="Arial"/>
          <w:i w:val="0"/>
          <w:iCs w:val="0"/>
          <w:szCs w:val="24"/>
        </w:rPr>
        <w:t xml:space="preserve">10.3 </w:t>
      </w:r>
      <w:r>
        <w:rPr>
          <w:rFonts w:hint="eastAsia"/>
          <w:i w:val="0"/>
          <w:iCs w:val="0"/>
          <w:szCs w:val="21"/>
          <w:highlight w:val="none"/>
        </w:rPr>
        <w:t>产品、系统设计图</w:t>
      </w:r>
      <w:r>
        <w:tab/>
      </w:r>
      <w:r>
        <w:fldChar w:fldCharType="begin"/>
      </w:r>
      <w:r>
        <w:instrText xml:space="preserve"> PAGEREF _Toc10855 \h </w:instrText>
      </w:r>
      <w:r>
        <w:fldChar w:fldCharType="separate"/>
      </w:r>
      <w:r>
        <w:t>51</w:t>
      </w:r>
      <w:r>
        <w:fldChar w:fldCharType="end"/>
      </w:r>
      <w:r>
        <w:rPr>
          <w:i w:val="0"/>
          <w:iCs w:val="0"/>
          <w:color w:val="auto"/>
          <w:szCs w:val="21"/>
          <w:highlight w:val="none"/>
        </w:rPr>
        <w:fldChar w:fldCharType="end"/>
      </w:r>
    </w:p>
    <w:p w14:paraId="14E17FC4">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_Toc17646 </w:instrText>
      </w:r>
      <w:r>
        <w:rPr>
          <w:i w:val="0"/>
          <w:iCs w:val="0"/>
          <w:szCs w:val="21"/>
          <w:highlight w:val="none"/>
        </w:rPr>
        <w:fldChar w:fldCharType="separate"/>
      </w:r>
      <w:r>
        <w:rPr>
          <w:rFonts w:hint="default" w:ascii="Arial" w:hAnsi="Arial" w:cs="Arial"/>
          <w:i w:val="0"/>
          <w:iCs w:val="0"/>
          <w:szCs w:val="24"/>
        </w:rPr>
        <w:t xml:space="preserve">10.4 </w:t>
      </w:r>
      <w:r>
        <w:rPr>
          <w:rFonts w:hint="eastAsia"/>
          <w:i w:val="0"/>
          <w:iCs w:val="0"/>
          <w:szCs w:val="21"/>
          <w:highlight w:val="none"/>
        </w:rPr>
        <w:t>安装设计图、资料</w:t>
      </w:r>
      <w:r>
        <w:tab/>
      </w:r>
      <w:r>
        <w:fldChar w:fldCharType="begin"/>
      </w:r>
      <w:r>
        <w:instrText xml:space="preserve"> PAGEREF _Toc17646 \h </w:instrText>
      </w:r>
      <w:r>
        <w:fldChar w:fldCharType="separate"/>
      </w:r>
      <w:r>
        <w:t>52</w:t>
      </w:r>
      <w:r>
        <w:fldChar w:fldCharType="end"/>
      </w:r>
      <w:r>
        <w:rPr>
          <w:i w:val="0"/>
          <w:iCs w:val="0"/>
          <w:color w:val="auto"/>
          <w:szCs w:val="21"/>
          <w:highlight w:val="none"/>
        </w:rPr>
        <w:fldChar w:fldCharType="end"/>
      </w:r>
    </w:p>
    <w:p w14:paraId="6AB36363">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_Toc29015 </w:instrText>
      </w:r>
      <w:r>
        <w:rPr>
          <w:i w:val="0"/>
          <w:iCs w:val="0"/>
          <w:szCs w:val="21"/>
          <w:highlight w:val="none"/>
        </w:rPr>
        <w:fldChar w:fldCharType="separate"/>
      </w:r>
      <w:r>
        <w:rPr>
          <w:rFonts w:hint="default" w:ascii="Arial" w:hAnsi="Arial" w:cs="Arial"/>
          <w:i w:val="0"/>
          <w:iCs w:val="0"/>
          <w:szCs w:val="24"/>
        </w:rPr>
        <w:t xml:space="preserve">10.5 </w:t>
      </w:r>
      <w:r>
        <w:rPr>
          <w:rFonts w:hint="eastAsia"/>
          <w:i w:val="0"/>
          <w:iCs w:val="0"/>
          <w:szCs w:val="21"/>
          <w:highlight w:val="none"/>
        </w:rPr>
        <w:t>安装验收规范书</w:t>
      </w:r>
      <w:r>
        <w:tab/>
      </w:r>
      <w:r>
        <w:fldChar w:fldCharType="begin"/>
      </w:r>
      <w:r>
        <w:instrText xml:space="preserve"> PAGEREF _Toc29015 \h </w:instrText>
      </w:r>
      <w:r>
        <w:fldChar w:fldCharType="separate"/>
      </w:r>
      <w:r>
        <w:t>52</w:t>
      </w:r>
      <w:r>
        <w:fldChar w:fldCharType="end"/>
      </w:r>
      <w:r>
        <w:rPr>
          <w:i w:val="0"/>
          <w:iCs w:val="0"/>
          <w:color w:val="auto"/>
          <w:szCs w:val="21"/>
          <w:highlight w:val="none"/>
        </w:rPr>
        <w:fldChar w:fldCharType="end"/>
      </w:r>
    </w:p>
    <w:p w14:paraId="4F0EC87C">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_Toc11343 </w:instrText>
      </w:r>
      <w:r>
        <w:rPr>
          <w:i w:val="0"/>
          <w:iCs w:val="0"/>
          <w:szCs w:val="21"/>
          <w:highlight w:val="none"/>
        </w:rPr>
        <w:fldChar w:fldCharType="separate"/>
      </w:r>
      <w:r>
        <w:rPr>
          <w:rFonts w:hint="default" w:ascii="Arial" w:hAnsi="Arial" w:cs="Arial"/>
          <w:i w:val="0"/>
          <w:iCs w:val="0"/>
          <w:szCs w:val="24"/>
        </w:rPr>
        <w:t xml:space="preserve">10.6 </w:t>
      </w:r>
      <w:r>
        <w:rPr>
          <w:rFonts w:hint="eastAsia"/>
          <w:i w:val="0"/>
          <w:iCs w:val="0"/>
          <w:szCs w:val="21"/>
          <w:highlight w:val="none"/>
        </w:rPr>
        <w:t>试验、检验规范书及测试和测试检验报告</w:t>
      </w:r>
      <w:r>
        <w:tab/>
      </w:r>
      <w:r>
        <w:fldChar w:fldCharType="begin"/>
      </w:r>
      <w:r>
        <w:instrText xml:space="preserve"> PAGEREF _Toc11343 \h </w:instrText>
      </w:r>
      <w:r>
        <w:fldChar w:fldCharType="separate"/>
      </w:r>
      <w:r>
        <w:t>52</w:t>
      </w:r>
      <w:r>
        <w:fldChar w:fldCharType="end"/>
      </w:r>
      <w:r>
        <w:rPr>
          <w:i w:val="0"/>
          <w:iCs w:val="0"/>
          <w:color w:val="auto"/>
          <w:szCs w:val="21"/>
          <w:highlight w:val="none"/>
        </w:rPr>
        <w:fldChar w:fldCharType="end"/>
      </w:r>
    </w:p>
    <w:p w14:paraId="4485EBAC">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_Toc24129 </w:instrText>
      </w:r>
      <w:r>
        <w:rPr>
          <w:i w:val="0"/>
          <w:iCs w:val="0"/>
          <w:szCs w:val="21"/>
          <w:highlight w:val="none"/>
        </w:rPr>
        <w:fldChar w:fldCharType="separate"/>
      </w:r>
      <w:r>
        <w:rPr>
          <w:rFonts w:hint="default" w:ascii="Arial" w:hAnsi="Arial" w:cs="Arial"/>
          <w:i w:val="0"/>
          <w:iCs w:val="0"/>
          <w:szCs w:val="24"/>
        </w:rPr>
        <w:t xml:space="preserve">10.7 </w:t>
      </w:r>
      <w:r>
        <w:rPr>
          <w:rFonts w:hint="eastAsia"/>
          <w:i w:val="0"/>
          <w:iCs w:val="0"/>
          <w:szCs w:val="21"/>
          <w:highlight w:val="none"/>
        </w:rPr>
        <w:t>验收标准</w:t>
      </w:r>
      <w:r>
        <w:tab/>
      </w:r>
      <w:r>
        <w:fldChar w:fldCharType="begin"/>
      </w:r>
      <w:r>
        <w:instrText xml:space="preserve"> PAGEREF _Toc24129 \h </w:instrText>
      </w:r>
      <w:r>
        <w:fldChar w:fldCharType="separate"/>
      </w:r>
      <w:r>
        <w:t>53</w:t>
      </w:r>
      <w:r>
        <w:fldChar w:fldCharType="end"/>
      </w:r>
      <w:r>
        <w:rPr>
          <w:i w:val="0"/>
          <w:iCs w:val="0"/>
          <w:color w:val="auto"/>
          <w:szCs w:val="21"/>
          <w:highlight w:val="none"/>
        </w:rPr>
        <w:fldChar w:fldCharType="end"/>
      </w:r>
    </w:p>
    <w:p w14:paraId="745D97BF">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_Toc30092 </w:instrText>
      </w:r>
      <w:r>
        <w:rPr>
          <w:i w:val="0"/>
          <w:iCs w:val="0"/>
          <w:szCs w:val="21"/>
          <w:highlight w:val="none"/>
        </w:rPr>
        <w:fldChar w:fldCharType="separate"/>
      </w:r>
      <w:r>
        <w:rPr>
          <w:rFonts w:hint="default" w:ascii="Arial" w:hAnsi="Arial" w:cs="Arial"/>
          <w:i w:val="0"/>
          <w:iCs w:val="0"/>
          <w:szCs w:val="24"/>
        </w:rPr>
        <w:t xml:space="preserve">10.8 </w:t>
      </w:r>
      <w:r>
        <w:rPr>
          <w:rFonts w:hint="eastAsia"/>
          <w:i w:val="0"/>
          <w:iCs w:val="0"/>
          <w:szCs w:val="21"/>
          <w:highlight w:val="none"/>
        </w:rPr>
        <w:t>竣工文件</w:t>
      </w:r>
      <w:r>
        <w:tab/>
      </w:r>
      <w:r>
        <w:fldChar w:fldCharType="begin"/>
      </w:r>
      <w:r>
        <w:instrText xml:space="preserve"> PAGEREF _Toc30092 \h </w:instrText>
      </w:r>
      <w:r>
        <w:fldChar w:fldCharType="separate"/>
      </w:r>
      <w:r>
        <w:t>53</w:t>
      </w:r>
      <w:r>
        <w:fldChar w:fldCharType="end"/>
      </w:r>
      <w:r>
        <w:rPr>
          <w:i w:val="0"/>
          <w:iCs w:val="0"/>
          <w:color w:val="auto"/>
          <w:szCs w:val="21"/>
          <w:highlight w:val="none"/>
        </w:rPr>
        <w:fldChar w:fldCharType="end"/>
      </w:r>
    </w:p>
    <w:p w14:paraId="6CA7E7EB">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_Toc26418 </w:instrText>
      </w:r>
      <w:r>
        <w:rPr>
          <w:i w:val="0"/>
          <w:iCs w:val="0"/>
          <w:szCs w:val="21"/>
          <w:highlight w:val="none"/>
        </w:rPr>
        <w:fldChar w:fldCharType="separate"/>
      </w:r>
      <w:r>
        <w:rPr>
          <w:rFonts w:hint="default" w:ascii="Arial" w:hAnsi="Arial" w:cs="Arial"/>
          <w:i w:val="0"/>
          <w:iCs w:val="0"/>
          <w:szCs w:val="24"/>
        </w:rPr>
        <w:t xml:space="preserve">10.9 </w:t>
      </w:r>
      <w:r>
        <w:rPr>
          <w:rFonts w:hint="eastAsia"/>
          <w:i w:val="0"/>
          <w:iCs w:val="0"/>
          <w:szCs w:val="21"/>
          <w:highlight w:val="none"/>
        </w:rPr>
        <w:t>安装手册</w:t>
      </w:r>
      <w:r>
        <w:tab/>
      </w:r>
      <w:r>
        <w:fldChar w:fldCharType="begin"/>
      </w:r>
      <w:r>
        <w:instrText xml:space="preserve"> PAGEREF _Toc26418 \h </w:instrText>
      </w:r>
      <w:r>
        <w:fldChar w:fldCharType="separate"/>
      </w:r>
      <w:r>
        <w:t>53</w:t>
      </w:r>
      <w:r>
        <w:fldChar w:fldCharType="end"/>
      </w:r>
      <w:r>
        <w:rPr>
          <w:i w:val="0"/>
          <w:iCs w:val="0"/>
          <w:color w:val="auto"/>
          <w:szCs w:val="21"/>
          <w:highlight w:val="none"/>
        </w:rPr>
        <w:fldChar w:fldCharType="end"/>
      </w:r>
    </w:p>
    <w:p w14:paraId="1C838CC3">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_Toc28381 </w:instrText>
      </w:r>
      <w:r>
        <w:rPr>
          <w:i w:val="0"/>
          <w:iCs w:val="0"/>
          <w:szCs w:val="21"/>
          <w:highlight w:val="none"/>
        </w:rPr>
        <w:fldChar w:fldCharType="separate"/>
      </w:r>
      <w:r>
        <w:rPr>
          <w:rFonts w:hint="default" w:ascii="Arial" w:hAnsi="Arial" w:cs="Arial"/>
          <w:i w:val="0"/>
          <w:iCs w:val="0"/>
          <w:szCs w:val="24"/>
        </w:rPr>
        <w:t xml:space="preserve">10.10 </w:t>
      </w:r>
      <w:r>
        <w:rPr>
          <w:rFonts w:hint="eastAsia"/>
          <w:i w:val="0"/>
          <w:iCs w:val="0"/>
          <w:szCs w:val="21"/>
          <w:highlight w:val="none"/>
        </w:rPr>
        <w:t>操作手册</w:t>
      </w:r>
      <w:r>
        <w:tab/>
      </w:r>
      <w:r>
        <w:fldChar w:fldCharType="begin"/>
      </w:r>
      <w:r>
        <w:instrText xml:space="preserve"> PAGEREF _Toc28381 \h </w:instrText>
      </w:r>
      <w:r>
        <w:fldChar w:fldCharType="separate"/>
      </w:r>
      <w:r>
        <w:t>54</w:t>
      </w:r>
      <w:r>
        <w:fldChar w:fldCharType="end"/>
      </w:r>
      <w:r>
        <w:rPr>
          <w:i w:val="0"/>
          <w:iCs w:val="0"/>
          <w:color w:val="auto"/>
          <w:szCs w:val="21"/>
          <w:highlight w:val="none"/>
        </w:rPr>
        <w:fldChar w:fldCharType="end"/>
      </w:r>
    </w:p>
    <w:p w14:paraId="58D4B4C5">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_Toc30843 </w:instrText>
      </w:r>
      <w:r>
        <w:rPr>
          <w:i w:val="0"/>
          <w:iCs w:val="0"/>
          <w:szCs w:val="21"/>
          <w:highlight w:val="none"/>
        </w:rPr>
        <w:fldChar w:fldCharType="separate"/>
      </w:r>
      <w:r>
        <w:rPr>
          <w:rFonts w:hint="default" w:ascii="Arial" w:hAnsi="Arial" w:cs="Arial"/>
          <w:i w:val="0"/>
          <w:iCs w:val="0"/>
          <w:szCs w:val="24"/>
        </w:rPr>
        <w:t xml:space="preserve">10.11 </w:t>
      </w:r>
      <w:r>
        <w:rPr>
          <w:rFonts w:hint="eastAsia"/>
          <w:i w:val="0"/>
          <w:iCs w:val="0"/>
          <w:szCs w:val="21"/>
          <w:highlight w:val="none"/>
        </w:rPr>
        <w:t>维修手册</w:t>
      </w:r>
      <w:r>
        <w:tab/>
      </w:r>
      <w:r>
        <w:fldChar w:fldCharType="begin"/>
      </w:r>
      <w:r>
        <w:instrText xml:space="preserve"> PAGEREF _Toc30843 \h </w:instrText>
      </w:r>
      <w:r>
        <w:fldChar w:fldCharType="separate"/>
      </w:r>
      <w:r>
        <w:t>54</w:t>
      </w:r>
      <w:r>
        <w:fldChar w:fldCharType="end"/>
      </w:r>
      <w:r>
        <w:rPr>
          <w:i w:val="0"/>
          <w:iCs w:val="0"/>
          <w:color w:val="auto"/>
          <w:szCs w:val="21"/>
          <w:highlight w:val="none"/>
        </w:rPr>
        <w:fldChar w:fldCharType="end"/>
      </w:r>
    </w:p>
    <w:p w14:paraId="347FE121">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_Toc5745 </w:instrText>
      </w:r>
      <w:r>
        <w:rPr>
          <w:i w:val="0"/>
          <w:iCs w:val="0"/>
          <w:szCs w:val="21"/>
          <w:highlight w:val="none"/>
        </w:rPr>
        <w:fldChar w:fldCharType="separate"/>
      </w:r>
      <w:r>
        <w:rPr>
          <w:rFonts w:hint="default" w:ascii="Arial" w:hAnsi="Arial" w:cs="Arial"/>
          <w:i w:val="0"/>
          <w:iCs w:val="0"/>
          <w:szCs w:val="24"/>
        </w:rPr>
        <w:t xml:space="preserve">10.12 </w:t>
      </w:r>
      <w:r>
        <w:rPr>
          <w:rFonts w:hint="eastAsia"/>
          <w:i w:val="0"/>
          <w:iCs w:val="0"/>
          <w:szCs w:val="21"/>
          <w:highlight w:val="none"/>
        </w:rPr>
        <w:t>最终技术文件</w:t>
      </w:r>
      <w:r>
        <w:tab/>
      </w:r>
      <w:r>
        <w:fldChar w:fldCharType="begin"/>
      </w:r>
      <w:r>
        <w:instrText xml:space="preserve"> PAGEREF _Toc5745 \h </w:instrText>
      </w:r>
      <w:r>
        <w:fldChar w:fldCharType="separate"/>
      </w:r>
      <w:r>
        <w:t>55</w:t>
      </w:r>
      <w:r>
        <w:fldChar w:fldCharType="end"/>
      </w:r>
      <w:r>
        <w:rPr>
          <w:i w:val="0"/>
          <w:iCs w:val="0"/>
          <w:color w:val="auto"/>
          <w:szCs w:val="21"/>
          <w:highlight w:val="none"/>
        </w:rPr>
        <w:fldChar w:fldCharType="end"/>
      </w:r>
    </w:p>
    <w:p w14:paraId="6B7B3285">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_Toc30219 </w:instrText>
      </w:r>
      <w:r>
        <w:rPr>
          <w:i w:val="0"/>
          <w:iCs w:val="0"/>
          <w:szCs w:val="21"/>
          <w:highlight w:val="none"/>
        </w:rPr>
        <w:fldChar w:fldCharType="separate"/>
      </w:r>
      <w:r>
        <w:rPr>
          <w:rFonts w:hint="default" w:ascii="Arial" w:hAnsi="Arial" w:cs="Arial"/>
          <w:i w:val="0"/>
          <w:iCs w:val="0"/>
          <w:szCs w:val="24"/>
        </w:rPr>
        <w:t xml:space="preserve">10.13 </w:t>
      </w:r>
      <w:r>
        <w:rPr>
          <w:rFonts w:hint="eastAsia"/>
          <w:i w:val="0"/>
          <w:iCs w:val="0"/>
          <w:szCs w:val="21"/>
          <w:highlight w:val="none"/>
        </w:rPr>
        <w:t>其它</w:t>
      </w:r>
      <w:r>
        <w:tab/>
      </w:r>
      <w:r>
        <w:fldChar w:fldCharType="begin"/>
      </w:r>
      <w:r>
        <w:instrText xml:space="preserve"> PAGEREF _Toc30219 \h </w:instrText>
      </w:r>
      <w:r>
        <w:fldChar w:fldCharType="separate"/>
      </w:r>
      <w:r>
        <w:t>55</w:t>
      </w:r>
      <w:r>
        <w:fldChar w:fldCharType="end"/>
      </w:r>
      <w:r>
        <w:rPr>
          <w:i w:val="0"/>
          <w:iCs w:val="0"/>
          <w:color w:val="auto"/>
          <w:szCs w:val="21"/>
          <w:highlight w:val="none"/>
        </w:rPr>
        <w:fldChar w:fldCharType="end"/>
      </w:r>
    </w:p>
    <w:p w14:paraId="4850B1A6">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_Toc11517 </w:instrText>
      </w:r>
      <w:r>
        <w:rPr>
          <w:i w:val="0"/>
          <w:iCs w:val="0"/>
          <w:szCs w:val="21"/>
          <w:highlight w:val="none"/>
        </w:rPr>
        <w:fldChar w:fldCharType="separate"/>
      </w:r>
      <w:r>
        <w:rPr>
          <w:rFonts w:hint="default" w:ascii="Arial" w:hAnsi="Arial" w:cs="Arial"/>
          <w:i w:val="0"/>
          <w:iCs w:val="0"/>
          <w:szCs w:val="24"/>
        </w:rPr>
        <w:t xml:space="preserve">10.14 </w:t>
      </w:r>
      <w:r>
        <w:rPr>
          <w:rFonts w:hint="eastAsia"/>
          <w:i w:val="0"/>
          <w:iCs w:val="0"/>
          <w:szCs w:val="21"/>
          <w:highlight w:val="none"/>
        </w:rPr>
        <w:t>投标人文件</w:t>
      </w:r>
      <w:r>
        <w:tab/>
      </w:r>
      <w:r>
        <w:fldChar w:fldCharType="begin"/>
      </w:r>
      <w:r>
        <w:instrText xml:space="preserve"> PAGEREF _Toc11517 \h </w:instrText>
      </w:r>
      <w:r>
        <w:fldChar w:fldCharType="separate"/>
      </w:r>
      <w:r>
        <w:t>56</w:t>
      </w:r>
      <w:r>
        <w:fldChar w:fldCharType="end"/>
      </w:r>
      <w:r>
        <w:rPr>
          <w:i w:val="0"/>
          <w:iCs w:val="0"/>
          <w:color w:val="auto"/>
          <w:szCs w:val="21"/>
          <w:highlight w:val="none"/>
        </w:rPr>
        <w:fldChar w:fldCharType="end"/>
      </w:r>
    </w:p>
    <w:p w14:paraId="77B48F93">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_Toc16472 </w:instrText>
      </w:r>
      <w:r>
        <w:rPr>
          <w:i w:val="0"/>
          <w:iCs w:val="0"/>
          <w:szCs w:val="21"/>
          <w:highlight w:val="none"/>
        </w:rPr>
        <w:fldChar w:fldCharType="separate"/>
      </w:r>
      <w:r>
        <w:rPr>
          <w:rFonts w:hint="default" w:ascii="Arial" w:hAnsi="Arial" w:cs="Arial"/>
          <w:i w:val="0"/>
          <w:iCs w:val="0"/>
          <w:szCs w:val="22"/>
        </w:rPr>
        <w:t xml:space="preserve">10.14.1 </w:t>
      </w:r>
      <w:r>
        <w:rPr>
          <w:rFonts w:hint="eastAsia"/>
          <w:i w:val="0"/>
          <w:iCs w:val="0"/>
          <w:szCs w:val="22"/>
          <w:highlight w:val="none"/>
        </w:rPr>
        <w:t>投标人管理文件</w:t>
      </w:r>
      <w:r>
        <w:tab/>
      </w:r>
      <w:r>
        <w:fldChar w:fldCharType="begin"/>
      </w:r>
      <w:r>
        <w:instrText xml:space="preserve"> PAGEREF _Toc16472 \h </w:instrText>
      </w:r>
      <w:r>
        <w:fldChar w:fldCharType="separate"/>
      </w:r>
      <w:r>
        <w:t>56</w:t>
      </w:r>
      <w:r>
        <w:fldChar w:fldCharType="end"/>
      </w:r>
      <w:r>
        <w:rPr>
          <w:i w:val="0"/>
          <w:iCs w:val="0"/>
          <w:color w:val="auto"/>
          <w:szCs w:val="21"/>
          <w:highlight w:val="none"/>
        </w:rPr>
        <w:fldChar w:fldCharType="end"/>
      </w:r>
    </w:p>
    <w:p w14:paraId="4CB4510B">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_Toc29028 </w:instrText>
      </w:r>
      <w:r>
        <w:rPr>
          <w:i w:val="0"/>
          <w:iCs w:val="0"/>
          <w:szCs w:val="21"/>
          <w:highlight w:val="none"/>
        </w:rPr>
        <w:fldChar w:fldCharType="separate"/>
      </w:r>
      <w:r>
        <w:rPr>
          <w:rFonts w:hint="default" w:ascii="Arial" w:hAnsi="Arial" w:cs="Arial"/>
          <w:i w:val="0"/>
          <w:iCs w:val="0"/>
          <w:szCs w:val="22"/>
        </w:rPr>
        <w:t xml:space="preserve">10.14.2 </w:t>
      </w:r>
      <w:r>
        <w:rPr>
          <w:rFonts w:hint="eastAsia"/>
          <w:i w:val="0"/>
          <w:iCs w:val="0"/>
          <w:szCs w:val="22"/>
          <w:highlight w:val="none"/>
        </w:rPr>
        <w:t>技术文件的发表和公布</w:t>
      </w:r>
      <w:r>
        <w:tab/>
      </w:r>
      <w:r>
        <w:fldChar w:fldCharType="begin"/>
      </w:r>
      <w:r>
        <w:instrText xml:space="preserve"> PAGEREF _Toc29028 \h </w:instrText>
      </w:r>
      <w:r>
        <w:fldChar w:fldCharType="separate"/>
      </w:r>
      <w:r>
        <w:t>60</w:t>
      </w:r>
      <w:r>
        <w:fldChar w:fldCharType="end"/>
      </w:r>
      <w:r>
        <w:rPr>
          <w:i w:val="0"/>
          <w:iCs w:val="0"/>
          <w:color w:val="auto"/>
          <w:szCs w:val="21"/>
          <w:highlight w:val="none"/>
        </w:rPr>
        <w:fldChar w:fldCharType="end"/>
      </w:r>
    </w:p>
    <w:p w14:paraId="217C28BA">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_Toc8666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11. </w:t>
      </w:r>
      <w:r>
        <w:rPr>
          <w:rFonts w:hint="eastAsia"/>
          <w:i w:val="0"/>
          <w:iCs w:val="0"/>
          <w:szCs w:val="32"/>
          <w:highlight w:val="none"/>
        </w:rPr>
        <w:t>设计联络</w:t>
      </w:r>
      <w:r>
        <w:tab/>
      </w:r>
      <w:r>
        <w:fldChar w:fldCharType="begin"/>
      </w:r>
      <w:r>
        <w:instrText xml:space="preserve"> PAGEREF _Toc8666 \h </w:instrText>
      </w:r>
      <w:r>
        <w:fldChar w:fldCharType="separate"/>
      </w:r>
      <w:r>
        <w:t>61</w:t>
      </w:r>
      <w:r>
        <w:fldChar w:fldCharType="end"/>
      </w:r>
      <w:r>
        <w:rPr>
          <w:i w:val="0"/>
          <w:iCs w:val="0"/>
          <w:color w:val="auto"/>
          <w:szCs w:val="21"/>
          <w:highlight w:val="none"/>
        </w:rPr>
        <w:fldChar w:fldCharType="end"/>
      </w:r>
    </w:p>
    <w:p w14:paraId="6B9DC574">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_Toc30424 </w:instrText>
      </w:r>
      <w:r>
        <w:rPr>
          <w:i w:val="0"/>
          <w:iCs w:val="0"/>
          <w:szCs w:val="21"/>
          <w:highlight w:val="none"/>
        </w:rPr>
        <w:fldChar w:fldCharType="separate"/>
      </w:r>
      <w:r>
        <w:rPr>
          <w:rFonts w:hint="default" w:ascii="Arial" w:hAnsi="Arial" w:cs="Arial"/>
          <w:i w:val="0"/>
          <w:iCs w:val="0"/>
          <w:szCs w:val="24"/>
        </w:rPr>
        <w:t xml:space="preserve">11.1 </w:t>
      </w:r>
      <w:r>
        <w:rPr>
          <w:rFonts w:hint="eastAsia"/>
          <w:i w:val="0"/>
          <w:iCs w:val="0"/>
          <w:szCs w:val="21"/>
          <w:highlight w:val="none"/>
        </w:rPr>
        <w:t>设计联络</w:t>
      </w:r>
      <w:r>
        <w:tab/>
      </w:r>
      <w:r>
        <w:fldChar w:fldCharType="begin"/>
      </w:r>
      <w:r>
        <w:instrText xml:space="preserve"> PAGEREF _Toc30424 \h </w:instrText>
      </w:r>
      <w:r>
        <w:fldChar w:fldCharType="separate"/>
      </w:r>
      <w:r>
        <w:t>61</w:t>
      </w:r>
      <w:r>
        <w:fldChar w:fldCharType="end"/>
      </w:r>
      <w:r>
        <w:rPr>
          <w:i w:val="0"/>
          <w:iCs w:val="0"/>
          <w:color w:val="auto"/>
          <w:szCs w:val="21"/>
          <w:highlight w:val="none"/>
        </w:rPr>
        <w:fldChar w:fldCharType="end"/>
      </w:r>
    </w:p>
    <w:p w14:paraId="32F52191">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_Toc28972 </w:instrText>
      </w:r>
      <w:r>
        <w:rPr>
          <w:i w:val="0"/>
          <w:iCs w:val="0"/>
          <w:szCs w:val="21"/>
          <w:highlight w:val="none"/>
        </w:rPr>
        <w:fldChar w:fldCharType="separate"/>
      </w:r>
      <w:r>
        <w:rPr>
          <w:rFonts w:hint="default" w:ascii="Arial" w:hAnsi="Arial" w:cs="Arial"/>
          <w:i w:val="0"/>
          <w:iCs w:val="0"/>
          <w:szCs w:val="24"/>
        </w:rPr>
        <w:t xml:space="preserve">11.2 </w:t>
      </w:r>
      <w:r>
        <w:rPr>
          <w:rFonts w:hint="eastAsia"/>
          <w:i w:val="0"/>
          <w:iCs w:val="0"/>
          <w:szCs w:val="21"/>
          <w:highlight w:val="none"/>
        </w:rPr>
        <w:t>第一次设计联络会议</w:t>
      </w:r>
      <w:r>
        <w:tab/>
      </w:r>
      <w:r>
        <w:fldChar w:fldCharType="begin"/>
      </w:r>
      <w:r>
        <w:instrText xml:space="preserve"> PAGEREF _Toc28972 \h </w:instrText>
      </w:r>
      <w:r>
        <w:fldChar w:fldCharType="separate"/>
      </w:r>
      <w:r>
        <w:t>61</w:t>
      </w:r>
      <w:r>
        <w:fldChar w:fldCharType="end"/>
      </w:r>
      <w:r>
        <w:rPr>
          <w:i w:val="0"/>
          <w:iCs w:val="0"/>
          <w:color w:val="auto"/>
          <w:szCs w:val="21"/>
          <w:highlight w:val="none"/>
        </w:rPr>
        <w:fldChar w:fldCharType="end"/>
      </w:r>
    </w:p>
    <w:p w14:paraId="36B36EFA">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_Toc20723 </w:instrText>
      </w:r>
      <w:r>
        <w:rPr>
          <w:i w:val="0"/>
          <w:iCs w:val="0"/>
          <w:szCs w:val="21"/>
          <w:highlight w:val="none"/>
        </w:rPr>
        <w:fldChar w:fldCharType="separate"/>
      </w:r>
      <w:r>
        <w:rPr>
          <w:rFonts w:hint="default" w:ascii="Arial" w:hAnsi="Arial" w:cs="Arial"/>
          <w:i w:val="0"/>
          <w:iCs w:val="0"/>
          <w:szCs w:val="24"/>
        </w:rPr>
        <w:t xml:space="preserve">11.3 </w:t>
      </w:r>
      <w:r>
        <w:rPr>
          <w:rFonts w:hint="eastAsia"/>
          <w:i w:val="0"/>
          <w:iCs w:val="0"/>
          <w:szCs w:val="21"/>
          <w:highlight w:val="none"/>
        </w:rPr>
        <w:t>第二次设计联络会议</w:t>
      </w:r>
      <w:r>
        <w:tab/>
      </w:r>
      <w:r>
        <w:fldChar w:fldCharType="begin"/>
      </w:r>
      <w:r>
        <w:instrText xml:space="preserve"> PAGEREF _Toc20723 \h </w:instrText>
      </w:r>
      <w:r>
        <w:fldChar w:fldCharType="separate"/>
      </w:r>
      <w:r>
        <w:t>61</w:t>
      </w:r>
      <w:r>
        <w:fldChar w:fldCharType="end"/>
      </w:r>
      <w:r>
        <w:rPr>
          <w:i w:val="0"/>
          <w:iCs w:val="0"/>
          <w:color w:val="auto"/>
          <w:szCs w:val="21"/>
          <w:highlight w:val="none"/>
        </w:rPr>
        <w:fldChar w:fldCharType="end"/>
      </w:r>
    </w:p>
    <w:p w14:paraId="42E8F50E">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_Toc21828 </w:instrText>
      </w:r>
      <w:r>
        <w:rPr>
          <w:i w:val="0"/>
          <w:iCs w:val="0"/>
          <w:szCs w:val="21"/>
          <w:highlight w:val="none"/>
        </w:rPr>
        <w:fldChar w:fldCharType="separate"/>
      </w:r>
      <w:r>
        <w:rPr>
          <w:rFonts w:hint="default" w:ascii="Arial" w:hAnsi="Arial" w:cs="Arial"/>
          <w:i w:val="0"/>
          <w:iCs w:val="0"/>
          <w:szCs w:val="24"/>
        </w:rPr>
        <w:t xml:space="preserve">11.4 </w:t>
      </w:r>
      <w:r>
        <w:rPr>
          <w:rFonts w:hint="eastAsia"/>
          <w:i w:val="0"/>
          <w:iCs w:val="0"/>
          <w:szCs w:val="21"/>
          <w:highlight w:val="none"/>
        </w:rPr>
        <w:t>第三次设计联络会议</w:t>
      </w:r>
      <w:r>
        <w:tab/>
      </w:r>
      <w:r>
        <w:fldChar w:fldCharType="begin"/>
      </w:r>
      <w:r>
        <w:instrText xml:space="preserve"> PAGEREF _Toc21828 \h </w:instrText>
      </w:r>
      <w:r>
        <w:fldChar w:fldCharType="separate"/>
      </w:r>
      <w:r>
        <w:t>61</w:t>
      </w:r>
      <w:r>
        <w:fldChar w:fldCharType="end"/>
      </w:r>
      <w:r>
        <w:rPr>
          <w:i w:val="0"/>
          <w:iCs w:val="0"/>
          <w:color w:val="auto"/>
          <w:szCs w:val="21"/>
          <w:highlight w:val="none"/>
        </w:rPr>
        <w:fldChar w:fldCharType="end"/>
      </w:r>
    </w:p>
    <w:p w14:paraId="1F8B70D2">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_Toc28047 </w:instrText>
      </w:r>
      <w:r>
        <w:rPr>
          <w:i w:val="0"/>
          <w:iCs w:val="0"/>
          <w:szCs w:val="21"/>
          <w:highlight w:val="none"/>
        </w:rPr>
        <w:fldChar w:fldCharType="separate"/>
      </w:r>
      <w:r>
        <w:rPr>
          <w:rFonts w:hint="default" w:ascii="Arial" w:hAnsi="Arial" w:cs="Arial"/>
          <w:i w:val="0"/>
          <w:iCs w:val="0"/>
          <w:szCs w:val="24"/>
        </w:rPr>
        <w:t xml:space="preserve">11.5 </w:t>
      </w:r>
      <w:r>
        <w:rPr>
          <w:rFonts w:hint="eastAsia"/>
          <w:i w:val="0"/>
          <w:iCs w:val="0"/>
          <w:szCs w:val="21"/>
          <w:highlight w:val="none"/>
        </w:rPr>
        <w:t>工作协调会议</w:t>
      </w:r>
      <w:r>
        <w:tab/>
      </w:r>
      <w:r>
        <w:fldChar w:fldCharType="begin"/>
      </w:r>
      <w:r>
        <w:instrText xml:space="preserve"> PAGEREF _Toc28047 \h </w:instrText>
      </w:r>
      <w:r>
        <w:fldChar w:fldCharType="separate"/>
      </w:r>
      <w:r>
        <w:t>62</w:t>
      </w:r>
      <w:r>
        <w:fldChar w:fldCharType="end"/>
      </w:r>
      <w:r>
        <w:rPr>
          <w:i w:val="0"/>
          <w:iCs w:val="0"/>
          <w:color w:val="auto"/>
          <w:szCs w:val="21"/>
          <w:highlight w:val="none"/>
        </w:rPr>
        <w:fldChar w:fldCharType="end"/>
      </w:r>
    </w:p>
    <w:p w14:paraId="01A14C2F">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_Toc17510 </w:instrText>
      </w:r>
      <w:r>
        <w:rPr>
          <w:i w:val="0"/>
          <w:iCs w:val="0"/>
          <w:szCs w:val="21"/>
          <w:highlight w:val="none"/>
        </w:rPr>
        <w:fldChar w:fldCharType="separate"/>
      </w:r>
      <w:r>
        <w:rPr>
          <w:rFonts w:hint="default" w:ascii="Arial" w:hAnsi="Arial" w:cs="Arial"/>
          <w:i w:val="0"/>
          <w:iCs w:val="0"/>
          <w:szCs w:val="24"/>
        </w:rPr>
        <w:t xml:space="preserve">11.6 </w:t>
      </w:r>
      <w:r>
        <w:rPr>
          <w:rFonts w:hint="eastAsia"/>
          <w:i w:val="0"/>
          <w:iCs w:val="0"/>
          <w:szCs w:val="21"/>
          <w:highlight w:val="none"/>
        </w:rPr>
        <w:t>投标人人员在招标人所在地的规定</w:t>
      </w:r>
      <w:r>
        <w:tab/>
      </w:r>
      <w:r>
        <w:fldChar w:fldCharType="begin"/>
      </w:r>
      <w:r>
        <w:instrText xml:space="preserve"> PAGEREF _Toc17510 \h </w:instrText>
      </w:r>
      <w:r>
        <w:fldChar w:fldCharType="separate"/>
      </w:r>
      <w:r>
        <w:t>62</w:t>
      </w:r>
      <w:r>
        <w:fldChar w:fldCharType="end"/>
      </w:r>
      <w:r>
        <w:rPr>
          <w:i w:val="0"/>
          <w:iCs w:val="0"/>
          <w:color w:val="auto"/>
          <w:szCs w:val="21"/>
          <w:highlight w:val="none"/>
        </w:rPr>
        <w:fldChar w:fldCharType="end"/>
      </w:r>
    </w:p>
    <w:p w14:paraId="0B5F3441">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_Toc29288 </w:instrText>
      </w:r>
      <w:r>
        <w:rPr>
          <w:i w:val="0"/>
          <w:iCs w:val="0"/>
          <w:szCs w:val="21"/>
          <w:highlight w:val="none"/>
        </w:rPr>
        <w:fldChar w:fldCharType="separate"/>
      </w:r>
      <w:r>
        <w:rPr>
          <w:rFonts w:hint="default" w:ascii="Arial" w:hAnsi="Arial" w:cs="Arial"/>
          <w:i w:val="0"/>
          <w:iCs w:val="0"/>
          <w:szCs w:val="24"/>
        </w:rPr>
        <w:t xml:space="preserve">11.7 </w:t>
      </w:r>
      <w:r>
        <w:rPr>
          <w:rFonts w:hint="eastAsia"/>
          <w:i w:val="0"/>
          <w:iCs w:val="0"/>
          <w:szCs w:val="21"/>
          <w:highlight w:val="none"/>
        </w:rPr>
        <w:t>投标人设计工作的要求</w:t>
      </w:r>
      <w:r>
        <w:tab/>
      </w:r>
      <w:r>
        <w:fldChar w:fldCharType="begin"/>
      </w:r>
      <w:r>
        <w:instrText xml:space="preserve"> PAGEREF _Toc29288 \h </w:instrText>
      </w:r>
      <w:r>
        <w:fldChar w:fldCharType="separate"/>
      </w:r>
      <w:r>
        <w:t>62</w:t>
      </w:r>
      <w:r>
        <w:fldChar w:fldCharType="end"/>
      </w:r>
      <w:r>
        <w:rPr>
          <w:i w:val="0"/>
          <w:iCs w:val="0"/>
          <w:color w:val="auto"/>
          <w:szCs w:val="21"/>
          <w:highlight w:val="none"/>
        </w:rPr>
        <w:fldChar w:fldCharType="end"/>
      </w:r>
    </w:p>
    <w:p w14:paraId="7F286CD4">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_Toc23487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12. </w:t>
      </w:r>
      <w:r>
        <w:rPr>
          <w:rFonts w:hint="eastAsia"/>
          <w:i w:val="0"/>
          <w:iCs w:val="0"/>
          <w:szCs w:val="32"/>
          <w:highlight w:val="none"/>
        </w:rPr>
        <w:t>测试、检验、验收</w:t>
      </w:r>
      <w:r>
        <w:tab/>
      </w:r>
      <w:r>
        <w:fldChar w:fldCharType="begin"/>
      </w:r>
      <w:r>
        <w:instrText xml:space="preserve"> PAGEREF _Toc23487 \h </w:instrText>
      </w:r>
      <w:r>
        <w:fldChar w:fldCharType="separate"/>
      </w:r>
      <w:r>
        <w:t>64</w:t>
      </w:r>
      <w:r>
        <w:fldChar w:fldCharType="end"/>
      </w:r>
      <w:r>
        <w:rPr>
          <w:i w:val="0"/>
          <w:iCs w:val="0"/>
          <w:color w:val="auto"/>
          <w:szCs w:val="21"/>
          <w:highlight w:val="none"/>
        </w:rPr>
        <w:fldChar w:fldCharType="end"/>
      </w:r>
    </w:p>
    <w:p w14:paraId="5F11EFF9">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_Toc25808 </w:instrText>
      </w:r>
      <w:r>
        <w:rPr>
          <w:i w:val="0"/>
          <w:iCs w:val="0"/>
          <w:szCs w:val="21"/>
          <w:highlight w:val="none"/>
        </w:rPr>
        <w:fldChar w:fldCharType="separate"/>
      </w:r>
      <w:r>
        <w:rPr>
          <w:rFonts w:hint="default" w:ascii="Arial" w:hAnsi="Arial" w:cs="Arial"/>
          <w:i w:val="0"/>
          <w:iCs w:val="0"/>
          <w:szCs w:val="24"/>
        </w:rPr>
        <w:t xml:space="preserve">12.1 </w:t>
      </w:r>
      <w:r>
        <w:rPr>
          <w:rFonts w:hint="eastAsia"/>
          <w:i w:val="0"/>
          <w:iCs w:val="0"/>
          <w:szCs w:val="21"/>
          <w:highlight w:val="none"/>
        </w:rPr>
        <w:t>概述</w:t>
      </w:r>
      <w:r>
        <w:tab/>
      </w:r>
      <w:r>
        <w:fldChar w:fldCharType="begin"/>
      </w:r>
      <w:r>
        <w:instrText xml:space="preserve"> PAGEREF _Toc25808 \h </w:instrText>
      </w:r>
      <w:r>
        <w:fldChar w:fldCharType="separate"/>
      </w:r>
      <w:r>
        <w:t>64</w:t>
      </w:r>
      <w:r>
        <w:fldChar w:fldCharType="end"/>
      </w:r>
      <w:r>
        <w:rPr>
          <w:i w:val="0"/>
          <w:iCs w:val="0"/>
          <w:color w:val="auto"/>
          <w:szCs w:val="21"/>
          <w:highlight w:val="none"/>
        </w:rPr>
        <w:fldChar w:fldCharType="end"/>
      </w:r>
    </w:p>
    <w:p w14:paraId="5CD9D093">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_Toc23757 </w:instrText>
      </w:r>
      <w:r>
        <w:rPr>
          <w:i w:val="0"/>
          <w:iCs w:val="0"/>
          <w:szCs w:val="21"/>
          <w:highlight w:val="none"/>
        </w:rPr>
        <w:fldChar w:fldCharType="separate"/>
      </w:r>
      <w:r>
        <w:rPr>
          <w:rFonts w:hint="default" w:ascii="Arial" w:hAnsi="Arial" w:cs="Arial"/>
          <w:i w:val="0"/>
          <w:iCs w:val="0"/>
          <w:szCs w:val="24"/>
        </w:rPr>
        <w:t xml:space="preserve">12.2 </w:t>
      </w:r>
      <w:r>
        <w:rPr>
          <w:rFonts w:hint="eastAsia"/>
          <w:i w:val="0"/>
          <w:iCs w:val="0"/>
          <w:szCs w:val="21"/>
          <w:highlight w:val="none"/>
        </w:rPr>
        <w:t>工厂试验</w:t>
      </w:r>
      <w:r>
        <w:tab/>
      </w:r>
      <w:r>
        <w:fldChar w:fldCharType="begin"/>
      </w:r>
      <w:r>
        <w:instrText xml:space="preserve"> PAGEREF _Toc23757 \h </w:instrText>
      </w:r>
      <w:r>
        <w:fldChar w:fldCharType="separate"/>
      </w:r>
      <w:r>
        <w:t>64</w:t>
      </w:r>
      <w:r>
        <w:fldChar w:fldCharType="end"/>
      </w:r>
      <w:r>
        <w:rPr>
          <w:i w:val="0"/>
          <w:iCs w:val="0"/>
          <w:color w:val="auto"/>
          <w:szCs w:val="21"/>
          <w:highlight w:val="none"/>
        </w:rPr>
        <w:fldChar w:fldCharType="end"/>
      </w:r>
    </w:p>
    <w:p w14:paraId="4B2C3087">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_Toc21497 </w:instrText>
      </w:r>
      <w:r>
        <w:rPr>
          <w:i w:val="0"/>
          <w:iCs w:val="0"/>
          <w:szCs w:val="21"/>
          <w:highlight w:val="none"/>
        </w:rPr>
        <w:fldChar w:fldCharType="separate"/>
      </w:r>
      <w:r>
        <w:rPr>
          <w:rFonts w:hint="default" w:ascii="Arial" w:hAnsi="Arial" w:cs="Arial"/>
          <w:i w:val="0"/>
          <w:iCs w:val="0"/>
          <w:szCs w:val="22"/>
        </w:rPr>
        <w:t xml:space="preserve">12.2.1 </w:t>
      </w:r>
      <w:r>
        <w:rPr>
          <w:rFonts w:hint="eastAsia"/>
          <w:i w:val="0"/>
          <w:iCs w:val="0"/>
          <w:szCs w:val="22"/>
          <w:highlight w:val="none"/>
        </w:rPr>
        <w:t>型式试验</w:t>
      </w:r>
      <w:r>
        <w:tab/>
      </w:r>
      <w:r>
        <w:fldChar w:fldCharType="begin"/>
      </w:r>
      <w:r>
        <w:instrText xml:space="preserve"> PAGEREF _Toc21497 \h </w:instrText>
      </w:r>
      <w:r>
        <w:fldChar w:fldCharType="separate"/>
      </w:r>
      <w:r>
        <w:t>65</w:t>
      </w:r>
      <w:r>
        <w:fldChar w:fldCharType="end"/>
      </w:r>
      <w:r>
        <w:rPr>
          <w:i w:val="0"/>
          <w:iCs w:val="0"/>
          <w:color w:val="auto"/>
          <w:szCs w:val="21"/>
          <w:highlight w:val="none"/>
        </w:rPr>
        <w:fldChar w:fldCharType="end"/>
      </w:r>
    </w:p>
    <w:p w14:paraId="75FC996B">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_Toc18168 </w:instrText>
      </w:r>
      <w:r>
        <w:rPr>
          <w:i w:val="0"/>
          <w:iCs w:val="0"/>
          <w:szCs w:val="21"/>
          <w:highlight w:val="none"/>
        </w:rPr>
        <w:fldChar w:fldCharType="separate"/>
      </w:r>
      <w:r>
        <w:rPr>
          <w:rFonts w:hint="default" w:ascii="Arial" w:hAnsi="Arial" w:cs="Arial"/>
          <w:i w:val="0"/>
          <w:iCs w:val="0"/>
          <w:szCs w:val="22"/>
        </w:rPr>
        <w:t xml:space="preserve">12.2.2 </w:t>
      </w:r>
      <w:r>
        <w:rPr>
          <w:rFonts w:hint="eastAsia"/>
          <w:i w:val="0"/>
          <w:iCs w:val="0"/>
          <w:szCs w:val="22"/>
          <w:highlight w:val="none"/>
        </w:rPr>
        <w:t>工厂测试</w:t>
      </w:r>
      <w:r>
        <w:tab/>
      </w:r>
      <w:r>
        <w:fldChar w:fldCharType="begin"/>
      </w:r>
      <w:r>
        <w:instrText xml:space="preserve"> PAGEREF _Toc18168 \h </w:instrText>
      </w:r>
      <w:r>
        <w:fldChar w:fldCharType="separate"/>
      </w:r>
      <w:r>
        <w:t>65</w:t>
      </w:r>
      <w:r>
        <w:fldChar w:fldCharType="end"/>
      </w:r>
      <w:r>
        <w:rPr>
          <w:i w:val="0"/>
          <w:iCs w:val="0"/>
          <w:color w:val="auto"/>
          <w:szCs w:val="21"/>
          <w:highlight w:val="none"/>
        </w:rPr>
        <w:fldChar w:fldCharType="end"/>
      </w:r>
    </w:p>
    <w:p w14:paraId="64300083">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_Toc17063 </w:instrText>
      </w:r>
      <w:r>
        <w:rPr>
          <w:i w:val="0"/>
          <w:iCs w:val="0"/>
          <w:szCs w:val="21"/>
          <w:highlight w:val="none"/>
        </w:rPr>
        <w:fldChar w:fldCharType="separate"/>
      </w:r>
      <w:r>
        <w:rPr>
          <w:rFonts w:hint="default" w:ascii="Arial" w:hAnsi="Arial" w:cs="Arial"/>
          <w:i w:val="0"/>
          <w:iCs w:val="0"/>
          <w:szCs w:val="22"/>
        </w:rPr>
        <w:t xml:space="preserve">12.2.3 </w:t>
      </w:r>
      <w:r>
        <w:rPr>
          <w:rFonts w:hint="eastAsia"/>
          <w:i w:val="0"/>
          <w:iCs w:val="0"/>
          <w:szCs w:val="22"/>
          <w:highlight w:val="none"/>
        </w:rPr>
        <w:t>样机试验</w:t>
      </w:r>
      <w:r>
        <w:tab/>
      </w:r>
      <w:r>
        <w:fldChar w:fldCharType="begin"/>
      </w:r>
      <w:r>
        <w:instrText xml:space="preserve"> PAGEREF _Toc17063 \h </w:instrText>
      </w:r>
      <w:r>
        <w:fldChar w:fldCharType="separate"/>
      </w:r>
      <w:r>
        <w:t>65</w:t>
      </w:r>
      <w:r>
        <w:fldChar w:fldCharType="end"/>
      </w:r>
      <w:r>
        <w:rPr>
          <w:i w:val="0"/>
          <w:iCs w:val="0"/>
          <w:color w:val="auto"/>
          <w:szCs w:val="21"/>
          <w:highlight w:val="none"/>
        </w:rPr>
        <w:fldChar w:fldCharType="end"/>
      </w:r>
    </w:p>
    <w:p w14:paraId="01F333B9">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_Toc30474 </w:instrText>
      </w:r>
      <w:r>
        <w:rPr>
          <w:i w:val="0"/>
          <w:iCs w:val="0"/>
          <w:szCs w:val="21"/>
          <w:highlight w:val="none"/>
        </w:rPr>
        <w:fldChar w:fldCharType="separate"/>
      </w:r>
      <w:r>
        <w:rPr>
          <w:rFonts w:hint="default" w:ascii="Arial" w:hAnsi="Arial" w:cs="Arial"/>
          <w:i w:val="0"/>
          <w:iCs w:val="0"/>
          <w:szCs w:val="22"/>
        </w:rPr>
        <w:t xml:space="preserve">12.2.4 </w:t>
      </w:r>
      <w:r>
        <w:rPr>
          <w:rFonts w:hint="eastAsia"/>
          <w:i w:val="0"/>
          <w:iCs w:val="0"/>
          <w:szCs w:val="22"/>
          <w:highlight w:val="none"/>
        </w:rPr>
        <w:t>接口试验</w:t>
      </w:r>
      <w:r>
        <w:tab/>
      </w:r>
      <w:r>
        <w:fldChar w:fldCharType="begin"/>
      </w:r>
      <w:r>
        <w:instrText xml:space="preserve"> PAGEREF _Toc30474 \h </w:instrText>
      </w:r>
      <w:r>
        <w:fldChar w:fldCharType="separate"/>
      </w:r>
      <w:r>
        <w:t>65</w:t>
      </w:r>
      <w:r>
        <w:fldChar w:fldCharType="end"/>
      </w:r>
      <w:r>
        <w:rPr>
          <w:i w:val="0"/>
          <w:iCs w:val="0"/>
          <w:color w:val="auto"/>
          <w:szCs w:val="21"/>
          <w:highlight w:val="none"/>
        </w:rPr>
        <w:fldChar w:fldCharType="end"/>
      </w:r>
    </w:p>
    <w:p w14:paraId="77E0BDE0">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_Toc13119 </w:instrText>
      </w:r>
      <w:r>
        <w:rPr>
          <w:i w:val="0"/>
          <w:iCs w:val="0"/>
          <w:szCs w:val="21"/>
          <w:highlight w:val="none"/>
        </w:rPr>
        <w:fldChar w:fldCharType="separate"/>
      </w:r>
      <w:r>
        <w:rPr>
          <w:rFonts w:hint="default" w:ascii="Arial" w:hAnsi="Arial" w:cs="Arial"/>
          <w:i w:val="0"/>
          <w:iCs w:val="0"/>
          <w:szCs w:val="24"/>
        </w:rPr>
        <w:t xml:space="preserve">12.3 </w:t>
      </w:r>
      <w:r>
        <w:rPr>
          <w:rFonts w:hint="eastAsia"/>
          <w:i w:val="0"/>
          <w:iCs w:val="0"/>
          <w:szCs w:val="21"/>
          <w:highlight w:val="none"/>
        </w:rPr>
        <w:t>出厂检验</w:t>
      </w:r>
      <w:r>
        <w:tab/>
      </w:r>
      <w:r>
        <w:fldChar w:fldCharType="begin"/>
      </w:r>
      <w:r>
        <w:instrText xml:space="preserve"> PAGEREF _Toc13119 \h </w:instrText>
      </w:r>
      <w:r>
        <w:fldChar w:fldCharType="separate"/>
      </w:r>
      <w:r>
        <w:t>66</w:t>
      </w:r>
      <w:r>
        <w:fldChar w:fldCharType="end"/>
      </w:r>
      <w:r>
        <w:rPr>
          <w:i w:val="0"/>
          <w:iCs w:val="0"/>
          <w:color w:val="auto"/>
          <w:szCs w:val="21"/>
          <w:highlight w:val="none"/>
        </w:rPr>
        <w:fldChar w:fldCharType="end"/>
      </w:r>
    </w:p>
    <w:p w14:paraId="52A2DB3E">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_Toc17266 </w:instrText>
      </w:r>
      <w:r>
        <w:rPr>
          <w:i w:val="0"/>
          <w:iCs w:val="0"/>
          <w:szCs w:val="21"/>
          <w:highlight w:val="none"/>
        </w:rPr>
        <w:fldChar w:fldCharType="separate"/>
      </w:r>
      <w:r>
        <w:rPr>
          <w:rFonts w:hint="default" w:ascii="Arial" w:hAnsi="Arial" w:cs="Arial"/>
          <w:i w:val="0"/>
          <w:iCs w:val="0"/>
          <w:szCs w:val="24"/>
        </w:rPr>
        <w:t xml:space="preserve">12.4 </w:t>
      </w:r>
      <w:r>
        <w:rPr>
          <w:rFonts w:hint="eastAsia"/>
          <w:i w:val="0"/>
          <w:iCs w:val="0"/>
          <w:szCs w:val="21"/>
          <w:highlight w:val="none"/>
        </w:rPr>
        <w:t>到货检查</w:t>
      </w:r>
      <w:r>
        <w:tab/>
      </w:r>
      <w:r>
        <w:fldChar w:fldCharType="begin"/>
      </w:r>
      <w:r>
        <w:instrText xml:space="preserve"> PAGEREF _Toc17266 \h </w:instrText>
      </w:r>
      <w:r>
        <w:fldChar w:fldCharType="separate"/>
      </w:r>
      <w:r>
        <w:t>66</w:t>
      </w:r>
      <w:r>
        <w:fldChar w:fldCharType="end"/>
      </w:r>
      <w:r>
        <w:rPr>
          <w:i w:val="0"/>
          <w:iCs w:val="0"/>
          <w:color w:val="auto"/>
          <w:szCs w:val="21"/>
          <w:highlight w:val="none"/>
        </w:rPr>
        <w:fldChar w:fldCharType="end"/>
      </w:r>
    </w:p>
    <w:p w14:paraId="43976C7D">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_Toc4502 </w:instrText>
      </w:r>
      <w:r>
        <w:rPr>
          <w:i w:val="0"/>
          <w:iCs w:val="0"/>
          <w:szCs w:val="21"/>
          <w:highlight w:val="none"/>
        </w:rPr>
        <w:fldChar w:fldCharType="separate"/>
      </w:r>
      <w:r>
        <w:rPr>
          <w:rFonts w:hint="default" w:ascii="Arial" w:hAnsi="Arial" w:cs="Arial"/>
          <w:i w:val="0"/>
          <w:iCs w:val="0"/>
          <w:szCs w:val="24"/>
        </w:rPr>
        <w:t xml:space="preserve">12.5 </w:t>
      </w:r>
      <w:r>
        <w:rPr>
          <w:rFonts w:hint="eastAsia"/>
          <w:i w:val="0"/>
          <w:iCs w:val="0"/>
          <w:szCs w:val="21"/>
          <w:highlight w:val="none"/>
        </w:rPr>
        <w:t>开箱检验</w:t>
      </w:r>
      <w:r>
        <w:tab/>
      </w:r>
      <w:r>
        <w:fldChar w:fldCharType="begin"/>
      </w:r>
      <w:r>
        <w:instrText xml:space="preserve"> PAGEREF _Toc4502 \h </w:instrText>
      </w:r>
      <w:r>
        <w:fldChar w:fldCharType="separate"/>
      </w:r>
      <w:r>
        <w:t>66</w:t>
      </w:r>
      <w:r>
        <w:fldChar w:fldCharType="end"/>
      </w:r>
      <w:r>
        <w:rPr>
          <w:i w:val="0"/>
          <w:iCs w:val="0"/>
          <w:color w:val="auto"/>
          <w:szCs w:val="21"/>
          <w:highlight w:val="none"/>
        </w:rPr>
        <w:fldChar w:fldCharType="end"/>
      </w:r>
    </w:p>
    <w:p w14:paraId="30F12FD1">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_Toc871 </w:instrText>
      </w:r>
      <w:r>
        <w:rPr>
          <w:i w:val="0"/>
          <w:iCs w:val="0"/>
          <w:szCs w:val="21"/>
          <w:highlight w:val="none"/>
        </w:rPr>
        <w:fldChar w:fldCharType="separate"/>
      </w:r>
      <w:r>
        <w:rPr>
          <w:rFonts w:hint="default" w:ascii="Arial" w:hAnsi="Arial" w:cs="Arial"/>
          <w:i w:val="0"/>
          <w:iCs w:val="0"/>
          <w:szCs w:val="24"/>
        </w:rPr>
        <w:t xml:space="preserve">12.6 </w:t>
      </w:r>
      <w:r>
        <w:rPr>
          <w:rFonts w:hint="eastAsia"/>
          <w:i w:val="0"/>
          <w:iCs w:val="0"/>
          <w:szCs w:val="21"/>
          <w:highlight w:val="none"/>
        </w:rPr>
        <w:t>安装验收</w:t>
      </w:r>
      <w:r>
        <w:tab/>
      </w:r>
      <w:r>
        <w:fldChar w:fldCharType="begin"/>
      </w:r>
      <w:r>
        <w:instrText xml:space="preserve"> PAGEREF _Toc871 \h </w:instrText>
      </w:r>
      <w:r>
        <w:fldChar w:fldCharType="separate"/>
      </w:r>
      <w:r>
        <w:t>67</w:t>
      </w:r>
      <w:r>
        <w:fldChar w:fldCharType="end"/>
      </w:r>
      <w:r>
        <w:rPr>
          <w:i w:val="0"/>
          <w:iCs w:val="0"/>
          <w:color w:val="auto"/>
          <w:szCs w:val="21"/>
          <w:highlight w:val="none"/>
        </w:rPr>
        <w:fldChar w:fldCharType="end"/>
      </w:r>
    </w:p>
    <w:p w14:paraId="19B52E63">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_Toc20458 </w:instrText>
      </w:r>
      <w:r>
        <w:rPr>
          <w:i w:val="0"/>
          <w:iCs w:val="0"/>
          <w:szCs w:val="21"/>
          <w:highlight w:val="none"/>
        </w:rPr>
        <w:fldChar w:fldCharType="separate"/>
      </w:r>
      <w:r>
        <w:rPr>
          <w:rFonts w:hint="default" w:ascii="Arial" w:hAnsi="Arial" w:cs="Arial"/>
          <w:i w:val="0"/>
          <w:iCs w:val="0"/>
          <w:szCs w:val="24"/>
        </w:rPr>
        <w:t xml:space="preserve">12.7 </w:t>
      </w:r>
      <w:r>
        <w:rPr>
          <w:rFonts w:hint="eastAsia"/>
          <w:i w:val="0"/>
          <w:iCs w:val="0"/>
          <w:szCs w:val="21"/>
          <w:highlight w:val="none"/>
        </w:rPr>
        <w:t>完工测试</w:t>
      </w:r>
      <w:r>
        <w:tab/>
      </w:r>
      <w:r>
        <w:fldChar w:fldCharType="begin"/>
      </w:r>
      <w:r>
        <w:instrText xml:space="preserve"> PAGEREF _Toc20458 \h </w:instrText>
      </w:r>
      <w:r>
        <w:fldChar w:fldCharType="separate"/>
      </w:r>
      <w:r>
        <w:t>67</w:t>
      </w:r>
      <w:r>
        <w:fldChar w:fldCharType="end"/>
      </w:r>
      <w:r>
        <w:rPr>
          <w:i w:val="0"/>
          <w:iCs w:val="0"/>
          <w:color w:val="auto"/>
          <w:szCs w:val="21"/>
          <w:highlight w:val="none"/>
        </w:rPr>
        <w:fldChar w:fldCharType="end"/>
      </w:r>
    </w:p>
    <w:p w14:paraId="49E94859">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_Toc8303 </w:instrText>
      </w:r>
      <w:r>
        <w:rPr>
          <w:i w:val="0"/>
          <w:iCs w:val="0"/>
          <w:szCs w:val="21"/>
          <w:highlight w:val="none"/>
        </w:rPr>
        <w:fldChar w:fldCharType="separate"/>
      </w:r>
      <w:r>
        <w:rPr>
          <w:rFonts w:hint="default" w:ascii="Arial" w:hAnsi="Arial" w:cs="Arial"/>
          <w:i w:val="0"/>
          <w:iCs w:val="0"/>
          <w:szCs w:val="22"/>
        </w:rPr>
        <w:t xml:space="preserve">12.7.1 </w:t>
      </w:r>
      <w:r>
        <w:rPr>
          <w:rFonts w:hint="eastAsia"/>
          <w:i w:val="0"/>
          <w:iCs w:val="0"/>
          <w:szCs w:val="22"/>
          <w:highlight w:val="none"/>
        </w:rPr>
        <w:t>单机测试</w:t>
      </w:r>
      <w:r>
        <w:tab/>
      </w:r>
      <w:r>
        <w:fldChar w:fldCharType="begin"/>
      </w:r>
      <w:r>
        <w:instrText xml:space="preserve"> PAGEREF _Toc8303 \h </w:instrText>
      </w:r>
      <w:r>
        <w:fldChar w:fldCharType="separate"/>
      </w:r>
      <w:r>
        <w:t>67</w:t>
      </w:r>
      <w:r>
        <w:fldChar w:fldCharType="end"/>
      </w:r>
      <w:r>
        <w:rPr>
          <w:i w:val="0"/>
          <w:iCs w:val="0"/>
          <w:color w:val="auto"/>
          <w:szCs w:val="21"/>
          <w:highlight w:val="none"/>
        </w:rPr>
        <w:fldChar w:fldCharType="end"/>
      </w:r>
    </w:p>
    <w:p w14:paraId="67A8730A">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_Toc30951 </w:instrText>
      </w:r>
      <w:r>
        <w:rPr>
          <w:i w:val="0"/>
          <w:iCs w:val="0"/>
          <w:szCs w:val="21"/>
          <w:highlight w:val="none"/>
        </w:rPr>
        <w:fldChar w:fldCharType="separate"/>
      </w:r>
      <w:r>
        <w:rPr>
          <w:rFonts w:hint="default" w:ascii="Arial" w:hAnsi="Arial" w:cs="Arial"/>
          <w:i w:val="0"/>
          <w:iCs w:val="0"/>
          <w:szCs w:val="22"/>
        </w:rPr>
        <w:t xml:space="preserve">12.7.2 </w:t>
      </w:r>
      <w:r>
        <w:rPr>
          <w:rFonts w:hint="eastAsia"/>
          <w:i w:val="0"/>
          <w:iCs w:val="0"/>
          <w:szCs w:val="22"/>
          <w:highlight w:val="none"/>
        </w:rPr>
        <w:t>系统测试</w:t>
      </w:r>
      <w:r>
        <w:tab/>
      </w:r>
      <w:r>
        <w:fldChar w:fldCharType="begin"/>
      </w:r>
      <w:r>
        <w:instrText xml:space="preserve"> PAGEREF _Toc30951 \h </w:instrText>
      </w:r>
      <w:r>
        <w:fldChar w:fldCharType="separate"/>
      </w:r>
      <w:r>
        <w:t>67</w:t>
      </w:r>
      <w:r>
        <w:fldChar w:fldCharType="end"/>
      </w:r>
      <w:r>
        <w:rPr>
          <w:i w:val="0"/>
          <w:iCs w:val="0"/>
          <w:color w:val="auto"/>
          <w:szCs w:val="21"/>
          <w:highlight w:val="none"/>
        </w:rPr>
        <w:fldChar w:fldCharType="end"/>
      </w:r>
    </w:p>
    <w:p w14:paraId="7290DE6A">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_Toc3286 </w:instrText>
      </w:r>
      <w:r>
        <w:rPr>
          <w:i w:val="0"/>
          <w:iCs w:val="0"/>
          <w:szCs w:val="21"/>
          <w:highlight w:val="none"/>
        </w:rPr>
        <w:fldChar w:fldCharType="separate"/>
      </w:r>
      <w:r>
        <w:rPr>
          <w:rFonts w:hint="default" w:ascii="Arial" w:hAnsi="Arial" w:cs="Arial"/>
          <w:i w:val="0"/>
          <w:iCs w:val="0"/>
          <w:szCs w:val="22"/>
        </w:rPr>
        <w:t xml:space="preserve">12.7.3 </w:t>
      </w:r>
      <w:r>
        <w:rPr>
          <w:rFonts w:hint="eastAsia"/>
          <w:i w:val="0"/>
          <w:iCs w:val="0"/>
          <w:szCs w:val="22"/>
          <w:highlight w:val="none"/>
        </w:rPr>
        <w:t>144小时系统连续试验</w:t>
      </w:r>
      <w:r>
        <w:tab/>
      </w:r>
      <w:r>
        <w:fldChar w:fldCharType="begin"/>
      </w:r>
      <w:r>
        <w:instrText xml:space="preserve"> PAGEREF _Toc3286 \h </w:instrText>
      </w:r>
      <w:r>
        <w:fldChar w:fldCharType="separate"/>
      </w:r>
      <w:r>
        <w:t>68</w:t>
      </w:r>
      <w:r>
        <w:fldChar w:fldCharType="end"/>
      </w:r>
      <w:r>
        <w:rPr>
          <w:i w:val="0"/>
          <w:iCs w:val="0"/>
          <w:color w:val="auto"/>
          <w:szCs w:val="21"/>
          <w:highlight w:val="none"/>
        </w:rPr>
        <w:fldChar w:fldCharType="end"/>
      </w:r>
    </w:p>
    <w:p w14:paraId="3571EE42">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_Toc18098 </w:instrText>
      </w:r>
      <w:r>
        <w:rPr>
          <w:i w:val="0"/>
          <w:iCs w:val="0"/>
          <w:szCs w:val="21"/>
          <w:highlight w:val="none"/>
        </w:rPr>
        <w:fldChar w:fldCharType="separate"/>
      </w:r>
      <w:r>
        <w:rPr>
          <w:rFonts w:hint="default" w:ascii="Arial" w:hAnsi="Arial" w:cs="Arial"/>
          <w:i w:val="0"/>
          <w:iCs w:val="0"/>
          <w:szCs w:val="24"/>
        </w:rPr>
        <w:t xml:space="preserve">12.8 </w:t>
      </w:r>
      <w:r>
        <w:rPr>
          <w:rFonts w:hint="eastAsia"/>
          <w:i w:val="0"/>
          <w:iCs w:val="0"/>
          <w:szCs w:val="21"/>
          <w:highlight w:val="none"/>
        </w:rPr>
        <w:t>大联调</w:t>
      </w:r>
      <w:r>
        <w:tab/>
      </w:r>
      <w:r>
        <w:fldChar w:fldCharType="begin"/>
      </w:r>
      <w:r>
        <w:instrText xml:space="preserve"> PAGEREF _Toc18098 \h </w:instrText>
      </w:r>
      <w:r>
        <w:fldChar w:fldCharType="separate"/>
      </w:r>
      <w:r>
        <w:t>68</w:t>
      </w:r>
      <w:r>
        <w:fldChar w:fldCharType="end"/>
      </w:r>
      <w:r>
        <w:rPr>
          <w:i w:val="0"/>
          <w:iCs w:val="0"/>
          <w:color w:val="auto"/>
          <w:szCs w:val="21"/>
          <w:highlight w:val="none"/>
        </w:rPr>
        <w:fldChar w:fldCharType="end"/>
      </w:r>
    </w:p>
    <w:p w14:paraId="525DAEED">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_Toc3859 </w:instrText>
      </w:r>
      <w:r>
        <w:rPr>
          <w:i w:val="0"/>
          <w:iCs w:val="0"/>
          <w:szCs w:val="21"/>
          <w:highlight w:val="none"/>
        </w:rPr>
        <w:fldChar w:fldCharType="separate"/>
      </w:r>
      <w:r>
        <w:rPr>
          <w:rFonts w:hint="default" w:ascii="Arial" w:hAnsi="Arial" w:cs="Arial"/>
          <w:i w:val="0"/>
          <w:iCs w:val="0"/>
          <w:szCs w:val="24"/>
        </w:rPr>
        <w:t xml:space="preserve">12.9 </w:t>
      </w:r>
      <w:r>
        <w:rPr>
          <w:rFonts w:hint="eastAsia"/>
          <w:i w:val="0"/>
          <w:iCs w:val="0"/>
          <w:szCs w:val="21"/>
          <w:highlight w:val="none"/>
        </w:rPr>
        <w:t>预验收</w:t>
      </w:r>
      <w:r>
        <w:tab/>
      </w:r>
      <w:r>
        <w:fldChar w:fldCharType="begin"/>
      </w:r>
      <w:r>
        <w:instrText xml:space="preserve"> PAGEREF _Toc3859 \h </w:instrText>
      </w:r>
      <w:r>
        <w:fldChar w:fldCharType="separate"/>
      </w:r>
      <w:r>
        <w:t>69</w:t>
      </w:r>
      <w:r>
        <w:fldChar w:fldCharType="end"/>
      </w:r>
      <w:r>
        <w:rPr>
          <w:i w:val="0"/>
          <w:iCs w:val="0"/>
          <w:color w:val="auto"/>
          <w:szCs w:val="21"/>
          <w:highlight w:val="none"/>
        </w:rPr>
        <w:fldChar w:fldCharType="end"/>
      </w:r>
    </w:p>
    <w:p w14:paraId="3DF0C3E9">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_Toc3905 </w:instrText>
      </w:r>
      <w:r>
        <w:rPr>
          <w:i w:val="0"/>
          <w:iCs w:val="0"/>
          <w:szCs w:val="21"/>
          <w:highlight w:val="none"/>
        </w:rPr>
        <w:fldChar w:fldCharType="separate"/>
      </w:r>
      <w:r>
        <w:rPr>
          <w:rFonts w:hint="default" w:ascii="Arial" w:hAnsi="Arial" w:cs="Arial"/>
          <w:i w:val="0"/>
          <w:iCs w:val="0"/>
          <w:szCs w:val="24"/>
          <w:lang w:val="en-US" w:eastAsia="zh-CN"/>
        </w:rPr>
        <w:t xml:space="preserve">12.10 </w:t>
      </w:r>
      <w:r>
        <w:rPr>
          <w:rFonts w:hint="eastAsia"/>
          <w:i w:val="0"/>
          <w:iCs w:val="0"/>
          <w:szCs w:val="21"/>
          <w:highlight w:val="none"/>
          <w:lang w:val="en-US" w:eastAsia="zh-CN"/>
        </w:rPr>
        <w:t>试运行</w:t>
      </w:r>
      <w:r>
        <w:tab/>
      </w:r>
      <w:r>
        <w:fldChar w:fldCharType="begin"/>
      </w:r>
      <w:r>
        <w:instrText xml:space="preserve"> PAGEREF _Toc3905 \h </w:instrText>
      </w:r>
      <w:r>
        <w:fldChar w:fldCharType="separate"/>
      </w:r>
      <w:r>
        <w:t>69</w:t>
      </w:r>
      <w:r>
        <w:fldChar w:fldCharType="end"/>
      </w:r>
      <w:r>
        <w:rPr>
          <w:i w:val="0"/>
          <w:iCs w:val="0"/>
          <w:color w:val="auto"/>
          <w:szCs w:val="21"/>
          <w:highlight w:val="none"/>
        </w:rPr>
        <w:fldChar w:fldCharType="end"/>
      </w:r>
    </w:p>
    <w:p w14:paraId="34FC4F99">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_Toc4405 </w:instrText>
      </w:r>
      <w:r>
        <w:rPr>
          <w:i w:val="0"/>
          <w:iCs w:val="0"/>
          <w:szCs w:val="21"/>
          <w:highlight w:val="none"/>
        </w:rPr>
        <w:fldChar w:fldCharType="separate"/>
      </w:r>
      <w:r>
        <w:rPr>
          <w:rFonts w:hint="default" w:ascii="Arial" w:hAnsi="Arial" w:cs="Arial"/>
          <w:i w:val="0"/>
          <w:iCs w:val="0"/>
          <w:szCs w:val="24"/>
        </w:rPr>
        <w:t xml:space="preserve">12.11 </w:t>
      </w:r>
      <w:r>
        <w:rPr>
          <w:rFonts w:hint="eastAsia"/>
          <w:i w:val="0"/>
          <w:iCs w:val="0"/>
          <w:szCs w:val="21"/>
          <w:highlight w:val="none"/>
        </w:rPr>
        <w:t>初步验收</w:t>
      </w:r>
      <w:r>
        <w:tab/>
      </w:r>
      <w:r>
        <w:fldChar w:fldCharType="begin"/>
      </w:r>
      <w:r>
        <w:instrText xml:space="preserve"> PAGEREF _Toc4405 \h </w:instrText>
      </w:r>
      <w:r>
        <w:fldChar w:fldCharType="separate"/>
      </w:r>
      <w:r>
        <w:t>69</w:t>
      </w:r>
      <w:r>
        <w:fldChar w:fldCharType="end"/>
      </w:r>
      <w:r>
        <w:rPr>
          <w:i w:val="0"/>
          <w:iCs w:val="0"/>
          <w:color w:val="auto"/>
          <w:szCs w:val="21"/>
          <w:highlight w:val="none"/>
        </w:rPr>
        <w:fldChar w:fldCharType="end"/>
      </w:r>
    </w:p>
    <w:p w14:paraId="78C9CDF9">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_Toc6289 </w:instrText>
      </w:r>
      <w:r>
        <w:rPr>
          <w:i w:val="0"/>
          <w:iCs w:val="0"/>
          <w:szCs w:val="21"/>
          <w:highlight w:val="none"/>
        </w:rPr>
        <w:fldChar w:fldCharType="separate"/>
      </w:r>
      <w:r>
        <w:rPr>
          <w:rFonts w:hint="default" w:ascii="Arial" w:hAnsi="Arial" w:cs="Arial"/>
          <w:i w:val="0"/>
          <w:iCs w:val="0"/>
          <w:szCs w:val="24"/>
        </w:rPr>
        <w:t xml:space="preserve">12.12 </w:t>
      </w:r>
      <w:r>
        <w:rPr>
          <w:rFonts w:hint="eastAsia"/>
          <w:i w:val="0"/>
          <w:iCs w:val="0"/>
          <w:szCs w:val="21"/>
          <w:highlight w:val="none"/>
        </w:rPr>
        <w:t>质保期</w:t>
      </w:r>
      <w:r>
        <w:tab/>
      </w:r>
      <w:r>
        <w:fldChar w:fldCharType="begin"/>
      </w:r>
      <w:r>
        <w:instrText xml:space="preserve"> PAGEREF _Toc6289 \h </w:instrText>
      </w:r>
      <w:r>
        <w:fldChar w:fldCharType="separate"/>
      </w:r>
      <w:r>
        <w:t>69</w:t>
      </w:r>
      <w:r>
        <w:fldChar w:fldCharType="end"/>
      </w:r>
      <w:r>
        <w:rPr>
          <w:i w:val="0"/>
          <w:iCs w:val="0"/>
          <w:color w:val="auto"/>
          <w:szCs w:val="21"/>
          <w:highlight w:val="none"/>
        </w:rPr>
        <w:fldChar w:fldCharType="end"/>
      </w:r>
    </w:p>
    <w:p w14:paraId="3359B3F8">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_Toc23751 </w:instrText>
      </w:r>
      <w:r>
        <w:rPr>
          <w:i w:val="0"/>
          <w:iCs w:val="0"/>
          <w:szCs w:val="21"/>
          <w:highlight w:val="none"/>
        </w:rPr>
        <w:fldChar w:fldCharType="separate"/>
      </w:r>
      <w:r>
        <w:rPr>
          <w:rFonts w:hint="default" w:ascii="Arial" w:hAnsi="Arial" w:cs="Arial"/>
          <w:i w:val="0"/>
          <w:iCs w:val="0"/>
          <w:szCs w:val="24"/>
        </w:rPr>
        <w:t xml:space="preserve">12.13 </w:t>
      </w:r>
      <w:r>
        <w:rPr>
          <w:rFonts w:hint="eastAsia"/>
          <w:i w:val="0"/>
          <w:iCs w:val="0"/>
          <w:szCs w:val="21"/>
          <w:highlight w:val="none"/>
        </w:rPr>
        <w:t>最终验收</w:t>
      </w:r>
      <w:r>
        <w:tab/>
      </w:r>
      <w:r>
        <w:fldChar w:fldCharType="begin"/>
      </w:r>
      <w:r>
        <w:instrText xml:space="preserve"> PAGEREF _Toc23751 \h </w:instrText>
      </w:r>
      <w:r>
        <w:fldChar w:fldCharType="separate"/>
      </w:r>
      <w:r>
        <w:t>70</w:t>
      </w:r>
      <w:r>
        <w:fldChar w:fldCharType="end"/>
      </w:r>
      <w:r>
        <w:rPr>
          <w:i w:val="0"/>
          <w:iCs w:val="0"/>
          <w:color w:val="auto"/>
          <w:szCs w:val="21"/>
          <w:highlight w:val="none"/>
        </w:rPr>
        <w:fldChar w:fldCharType="end"/>
      </w:r>
    </w:p>
    <w:p w14:paraId="5F66E201">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_Toc15226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13. </w:t>
      </w:r>
      <w:r>
        <w:rPr>
          <w:rFonts w:hint="eastAsia"/>
          <w:i w:val="0"/>
          <w:iCs w:val="0"/>
          <w:szCs w:val="32"/>
          <w:highlight w:val="none"/>
        </w:rPr>
        <w:t>包装、发运、装卸与随箱文件</w:t>
      </w:r>
      <w:r>
        <w:tab/>
      </w:r>
      <w:r>
        <w:fldChar w:fldCharType="begin"/>
      </w:r>
      <w:r>
        <w:instrText xml:space="preserve"> PAGEREF _Toc15226 \h </w:instrText>
      </w:r>
      <w:r>
        <w:fldChar w:fldCharType="separate"/>
      </w:r>
      <w:r>
        <w:t>71</w:t>
      </w:r>
      <w:r>
        <w:fldChar w:fldCharType="end"/>
      </w:r>
      <w:r>
        <w:rPr>
          <w:i w:val="0"/>
          <w:iCs w:val="0"/>
          <w:color w:val="auto"/>
          <w:szCs w:val="21"/>
          <w:highlight w:val="none"/>
        </w:rPr>
        <w:fldChar w:fldCharType="end"/>
      </w:r>
    </w:p>
    <w:p w14:paraId="3D5B1F46">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_Toc11984 </w:instrText>
      </w:r>
      <w:r>
        <w:rPr>
          <w:i w:val="0"/>
          <w:iCs w:val="0"/>
          <w:szCs w:val="21"/>
          <w:highlight w:val="none"/>
        </w:rPr>
        <w:fldChar w:fldCharType="separate"/>
      </w:r>
      <w:r>
        <w:rPr>
          <w:rFonts w:hint="default" w:ascii="Arial" w:hAnsi="Arial" w:cs="Arial"/>
          <w:i w:val="0"/>
          <w:iCs w:val="0"/>
          <w:szCs w:val="24"/>
        </w:rPr>
        <w:t xml:space="preserve">13.1 </w:t>
      </w:r>
      <w:r>
        <w:rPr>
          <w:rFonts w:hint="eastAsia"/>
          <w:i w:val="0"/>
          <w:iCs w:val="0"/>
          <w:szCs w:val="21"/>
          <w:highlight w:val="none"/>
        </w:rPr>
        <w:t>概述</w:t>
      </w:r>
      <w:r>
        <w:tab/>
      </w:r>
      <w:r>
        <w:fldChar w:fldCharType="begin"/>
      </w:r>
      <w:r>
        <w:instrText xml:space="preserve"> PAGEREF _Toc11984 \h </w:instrText>
      </w:r>
      <w:r>
        <w:fldChar w:fldCharType="separate"/>
      </w:r>
      <w:r>
        <w:t>71</w:t>
      </w:r>
      <w:r>
        <w:fldChar w:fldCharType="end"/>
      </w:r>
      <w:r>
        <w:rPr>
          <w:i w:val="0"/>
          <w:iCs w:val="0"/>
          <w:color w:val="auto"/>
          <w:szCs w:val="21"/>
          <w:highlight w:val="none"/>
        </w:rPr>
        <w:fldChar w:fldCharType="end"/>
      </w:r>
    </w:p>
    <w:p w14:paraId="67AF8BF7">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_Toc12847 </w:instrText>
      </w:r>
      <w:r>
        <w:rPr>
          <w:i w:val="0"/>
          <w:iCs w:val="0"/>
          <w:szCs w:val="21"/>
          <w:highlight w:val="none"/>
        </w:rPr>
        <w:fldChar w:fldCharType="separate"/>
      </w:r>
      <w:r>
        <w:rPr>
          <w:rFonts w:hint="default" w:ascii="Arial" w:hAnsi="Arial" w:cs="Arial"/>
          <w:i w:val="0"/>
          <w:iCs w:val="0"/>
          <w:szCs w:val="24"/>
        </w:rPr>
        <w:t xml:space="preserve">13.2 </w:t>
      </w:r>
      <w:r>
        <w:rPr>
          <w:rFonts w:hint="eastAsia"/>
          <w:i w:val="0"/>
          <w:iCs w:val="0"/>
          <w:szCs w:val="21"/>
          <w:highlight w:val="none"/>
        </w:rPr>
        <w:t>包装</w:t>
      </w:r>
      <w:r>
        <w:tab/>
      </w:r>
      <w:r>
        <w:fldChar w:fldCharType="begin"/>
      </w:r>
      <w:r>
        <w:instrText xml:space="preserve"> PAGEREF _Toc12847 \h </w:instrText>
      </w:r>
      <w:r>
        <w:fldChar w:fldCharType="separate"/>
      </w:r>
      <w:r>
        <w:t>71</w:t>
      </w:r>
      <w:r>
        <w:fldChar w:fldCharType="end"/>
      </w:r>
      <w:r>
        <w:rPr>
          <w:i w:val="0"/>
          <w:iCs w:val="0"/>
          <w:color w:val="auto"/>
          <w:szCs w:val="21"/>
          <w:highlight w:val="none"/>
        </w:rPr>
        <w:fldChar w:fldCharType="end"/>
      </w:r>
    </w:p>
    <w:p w14:paraId="5A228AED">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_Toc11484 </w:instrText>
      </w:r>
      <w:r>
        <w:rPr>
          <w:i w:val="0"/>
          <w:iCs w:val="0"/>
          <w:szCs w:val="21"/>
          <w:highlight w:val="none"/>
        </w:rPr>
        <w:fldChar w:fldCharType="separate"/>
      </w:r>
      <w:r>
        <w:rPr>
          <w:rFonts w:hint="default" w:ascii="Arial" w:hAnsi="Arial" w:cs="Arial"/>
          <w:i w:val="0"/>
          <w:iCs w:val="0"/>
          <w:szCs w:val="24"/>
        </w:rPr>
        <w:t xml:space="preserve">13.3 </w:t>
      </w:r>
      <w:r>
        <w:rPr>
          <w:rFonts w:hint="eastAsia"/>
          <w:i w:val="0"/>
          <w:iCs w:val="0"/>
          <w:szCs w:val="21"/>
          <w:highlight w:val="none"/>
        </w:rPr>
        <w:t>装运</w:t>
      </w:r>
      <w:r>
        <w:tab/>
      </w:r>
      <w:r>
        <w:fldChar w:fldCharType="begin"/>
      </w:r>
      <w:r>
        <w:instrText xml:space="preserve"> PAGEREF _Toc11484 \h </w:instrText>
      </w:r>
      <w:r>
        <w:fldChar w:fldCharType="separate"/>
      </w:r>
      <w:r>
        <w:t>71</w:t>
      </w:r>
      <w:r>
        <w:fldChar w:fldCharType="end"/>
      </w:r>
      <w:r>
        <w:rPr>
          <w:i w:val="0"/>
          <w:iCs w:val="0"/>
          <w:color w:val="auto"/>
          <w:szCs w:val="21"/>
          <w:highlight w:val="none"/>
        </w:rPr>
        <w:fldChar w:fldCharType="end"/>
      </w:r>
    </w:p>
    <w:p w14:paraId="1387F099">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_Toc6060 </w:instrText>
      </w:r>
      <w:r>
        <w:rPr>
          <w:i w:val="0"/>
          <w:iCs w:val="0"/>
          <w:szCs w:val="21"/>
          <w:highlight w:val="none"/>
        </w:rPr>
        <w:fldChar w:fldCharType="separate"/>
      </w:r>
      <w:r>
        <w:rPr>
          <w:rFonts w:hint="default" w:ascii="Arial" w:hAnsi="Arial" w:cs="Arial"/>
          <w:i w:val="0"/>
          <w:iCs w:val="0"/>
          <w:szCs w:val="24"/>
        </w:rPr>
        <w:t xml:space="preserve">13.4 </w:t>
      </w:r>
      <w:r>
        <w:rPr>
          <w:rFonts w:hint="eastAsia"/>
          <w:i w:val="0"/>
          <w:iCs w:val="0"/>
          <w:szCs w:val="21"/>
          <w:highlight w:val="none"/>
        </w:rPr>
        <w:t>装运标记</w:t>
      </w:r>
      <w:r>
        <w:tab/>
      </w:r>
      <w:r>
        <w:fldChar w:fldCharType="begin"/>
      </w:r>
      <w:r>
        <w:instrText xml:space="preserve"> PAGEREF _Toc6060 \h </w:instrText>
      </w:r>
      <w:r>
        <w:fldChar w:fldCharType="separate"/>
      </w:r>
      <w:r>
        <w:t>71</w:t>
      </w:r>
      <w:r>
        <w:fldChar w:fldCharType="end"/>
      </w:r>
      <w:r>
        <w:rPr>
          <w:i w:val="0"/>
          <w:iCs w:val="0"/>
          <w:color w:val="auto"/>
          <w:szCs w:val="21"/>
          <w:highlight w:val="none"/>
        </w:rPr>
        <w:fldChar w:fldCharType="end"/>
      </w:r>
    </w:p>
    <w:p w14:paraId="7E1CADE8">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_Toc19240 </w:instrText>
      </w:r>
      <w:r>
        <w:rPr>
          <w:i w:val="0"/>
          <w:iCs w:val="0"/>
          <w:szCs w:val="21"/>
          <w:highlight w:val="none"/>
        </w:rPr>
        <w:fldChar w:fldCharType="separate"/>
      </w:r>
      <w:r>
        <w:rPr>
          <w:rFonts w:hint="default" w:ascii="Arial" w:hAnsi="Arial" w:cs="Arial"/>
          <w:i w:val="0"/>
          <w:iCs w:val="0"/>
          <w:szCs w:val="24"/>
        </w:rPr>
        <w:t xml:space="preserve">13.5 </w:t>
      </w:r>
      <w:r>
        <w:rPr>
          <w:rFonts w:hint="eastAsia"/>
          <w:i w:val="0"/>
          <w:iCs w:val="0"/>
          <w:szCs w:val="21"/>
          <w:highlight w:val="none"/>
        </w:rPr>
        <w:t>装卸</w:t>
      </w:r>
      <w:r>
        <w:tab/>
      </w:r>
      <w:r>
        <w:fldChar w:fldCharType="begin"/>
      </w:r>
      <w:r>
        <w:instrText xml:space="preserve"> PAGEREF _Toc19240 \h </w:instrText>
      </w:r>
      <w:r>
        <w:fldChar w:fldCharType="separate"/>
      </w:r>
      <w:r>
        <w:t>72</w:t>
      </w:r>
      <w:r>
        <w:fldChar w:fldCharType="end"/>
      </w:r>
      <w:r>
        <w:rPr>
          <w:i w:val="0"/>
          <w:iCs w:val="0"/>
          <w:color w:val="auto"/>
          <w:szCs w:val="21"/>
          <w:highlight w:val="none"/>
        </w:rPr>
        <w:fldChar w:fldCharType="end"/>
      </w:r>
    </w:p>
    <w:p w14:paraId="79483A64">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_Toc1950 </w:instrText>
      </w:r>
      <w:r>
        <w:rPr>
          <w:i w:val="0"/>
          <w:iCs w:val="0"/>
          <w:szCs w:val="21"/>
          <w:highlight w:val="none"/>
        </w:rPr>
        <w:fldChar w:fldCharType="separate"/>
      </w:r>
      <w:r>
        <w:rPr>
          <w:rFonts w:hint="default" w:ascii="Arial" w:hAnsi="Arial" w:cs="Arial"/>
          <w:i w:val="0"/>
          <w:iCs w:val="0"/>
          <w:szCs w:val="24"/>
        </w:rPr>
        <w:t xml:space="preserve">13.6 </w:t>
      </w:r>
      <w:r>
        <w:rPr>
          <w:rFonts w:hint="eastAsia"/>
          <w:i w:val="0"/>
          <w:iCs w:val="0"/>
          <w:szCs w:val="21"/>
          <w:highlight w:val="none"/>
        </w:rPr>
        <w:t>随箱文件</w:t>
      </w:r>
      <w:r>
        <w:tab/>
      </w:r>
      <w:r>
        <w:fldChar w:fldCharType="begin"/>
      </w:r>
      <w:r>
        <w:instrText xml:space="preserve"> PAGEREF _Toc1950 \h </w:instrText>
      </w:r>
      <w:r>
        <w:fldChar w:fldCharType="separate"/>
      </w:r>
      <w:r>
        <w:t>72</w:t>
      </w:r>
      <w:r>
        <w:fldChar w:fldCharType="end"/>
      </w:r>
      <w:r>
        <w:rPr>
          <w:i w:val="0"/>
          <w:iCs w:val="0"/>
          <w:color w:val="auto"/>
          <w:szCs w:val="21"/>
          <w:highlight w:val="none"/>
        </w:rPr>
        <w:fldChar w:fldCharType="end"/>
      </w:r>
    </w:p>
    <w:p w14:paraId="0BE01FD2">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_Toc30064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14. </w:t>
      </w:r>
      <w:r>
        <w:rPr>
          <w:rFonts w:hint="eastAsia"/>
          <w:i w:val="0"/>
          <w:iCs w:val="0"/>
          <w:szCs w:val="32"/>
          <w:highlight w:val="none"/>
        </w:rPr>
        <w:t>交货</w:t>
      </w:r>
      <w:r>
        <w:tab/>
      </w:r>
      <w:r>
        <w:fldChar w:fldCharType="begin"/>
      </w:r>
      <w:r>
        <w:instrText xml:space="preserve"> PAGEREF _Toc30064 \h </w:instrText>
      </w:r>
      <w:r>
        <w:fldChar w:fldCharType="separate"/>
      </w:r>
      <w:r>
        <w:t>73</w:t>
      </w:r>
      <w:r>
        <w:fldChar w:fldCharType="end"/>
      </w:r>
      <w:r>
        <w:rPr>
          <w:i w:val="0"/>
          <w:iCs w:val="0"/>
          <w:color w:val="auto"/>
          <w:szCs w:val="21"/>
          <w:highlight w:val="none"/>
        </w:rPr>
        <w:fldChar w:fldCharType="end"/>
      </w:r>
    </w:p>
    <w:p w14:paraId="39442065">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_Toc2699 </w:instrText>
      </w:r>
      <w:r>
        <w:rPr>
          <w:i w:val="0"/>
          <w:iCs w:val="0"/>
          <w:szCs w:val="21"/>
          <w:highlight w:val="none"/>
        </w:rPr>
        <w:fldChar w:fldCharType="separate"/>
      </w:r>
      <w:r>
        <w:rPr>
          <w:rFonts w:hint="default" w:ascii="Arial" w:hAnsi="Arial" w:cs="Arial"/>
          <w:i w:val="0"/>
          <w:iCs w:val="0"/>
          <w:szCs w:val="24"/>
        </w:rPr>
        <w:t xml:space="preserve">14.1 </w:t>
      </w:r>
      <w:r>
        <w:rPr>
          <w:rFonts w:hint="eastAsia"/>
          <w:i w:val="0"/>
          <w:iCs w:val="0"/>
          <w:szCs w:val="21"/>
          <w:highlight w:val="none"/>
        </w:rPr>
        <w:t>验交地点及收货人</w:t>
      </w:r>
      <w:r>
        <w:tab/>
      </w:r>
      <w:r>
        <w:fldChar w:fldCharType="begin"/>
      </w:r>
      <w:r>
        <w:instrText xml:space="preserve"> PAGEREF _Toc2699 \h </w:instrText>
      </w:r>
      <w:r>
        <w:fldChar w:fldCharType="separate"/>
      </w:r>
      <w:r>
        <w:t>73</w:t>
      </w:r>
      <w:r>
        <w:fldChar w:fldCharType="end"/>
      </w:r>
      <w:r>
        <w:rPr>
          <w:i w:val="0"/>
          <w:iCs w:val="0"/>
          <w:color w:val="auto"/>
          <w:szCs w:val="21"/>
          <w:highlight w:val="none"/>
        </w:rPr>
        <w:fldChar w:fldCharType="end"/>
      </w:r>
    </w:p>
    <w:p w14:paraId="0939FE60">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_Toc5875 </w:instrText>
      </w:r>
      <w:r>
        <w:rPr>
          <w:i w:val="0"/>
          <w:iCs w:val="0"/>
          <w:szCs w:val="21"/>
          <w:highlight w:val="none"/>
        </w:rPr>
        <w:fldChar w:fldCharType="separate"/>
      </w:r>
      <w:r>
        <w:rPr>
          <w:rFonts w:hint="default" w:ascii="Arial" w:hAnsi="Arial" w:cs="Arial"/>
          <w:i w:val="0"/>
          <w:iCs w:val="0"/>
          <w:szCs w:val="24"/>
        </w:rPr>
        <w:t xml:space="preserve">14.2 </w:t>
      </w:r>
      <w:r>
        <w:rPr>
          <w:rFonts w:hint="eastAsia"/>
          <w:i w:val="0"/>
          <w:iCs w:val="0"/>
          <w:szCs w:val="21"/>
          <w:highlight w:val="none"/>
        </w:rPr>
        <w:t>设备的交货</w:t>
      </w:r>
      <w:r>
        <w:tab/>
      </w:r>
      <w:r>
        <w:fldChar w:fldCharType="begin"/>
      </w:r>
      <w:r>
        <w:instrText xml:space="preserve"> PAGEREF _Toc5875 \h </w:instrText>
      </w:r>
      <w:r>
        <w:fldChar w:fldCharType="separate"/>
      </w:r>
      <w:r>
        <w:t>73</w:t>
      </w:r>
      <w:r>
        <w:fldChar w:fldCharType="end"/>
      </w:r>
      <w:r>
        <w:rPr>
          <w:i w:val="0"/>
          <w:iCs w:val="0"/>
          <w:color w:val="auto"/>
          <w:szCs w:val="21"/>
          <w:highlight w:val="none"/>
        </w:rPr>
        <w:fldChar w:fldCharType="end"/>
      </w:r>
    </w:p>
    <w:p w14:paraId="614BB179">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_Toc6215 </w:instrText>
      </w:r>
      <w:r>
        <w:rPr>
          <w:i w:val="0"/>
          <w:iCs w:val="0"/>
          <w:szCs w:val="21"/>
          <w:highlight w:val="none"/>
        </w:rPr>
        <w:fldChar w:fldCharType="separate"/>
      </w:r>
      <w:r>
        <w:rPr>
          <w:rFonts w:hint="default" w:ascii="Arial" w:hAnsi="Arial" w:cs="Arial"/>
          <w:i w:val="0"/>
          <w:iCs w:val="0"/>
          <w:szCs w:val="24"/>
        </w:rPr>
        <w:t xml:space="preserve">14.3 </w:t>
      </w:r>
      <w:r>
        <w:rPr>
          <w:rFonts w:hint="eastAsia"/>
          <w:i w:val="0"/>
          <w:iCs w:val="0"/>
          <w:szCs w:val="21"/>
          <w:highlight w:val="none"/>
        </w:rPr>
        <w:t>货物的保管</w:t>
      </w:r>
      <w:r>
        <w:tab/>
      </w:r>
      <w:r>
        <w:fldChar w:fldCharType="begin"/>
      </w:r>
      <w:r>
        <w:instrText xml:space="preserve"> PAGEREF _Toc6215 \h </w:instrText>
      </w:r>
      <w:r>
        <w:fldChar w:fldCharType="separate"/>
      </w:r>
      <w:r>
        <w:t>73</w:t>
      </w:r>
      <w:r>
        <w:fldChar w:fldCharType="end"/>
      </w:r>
      <w:r>
        <w:rPr>
          <w:i w:val="0"/>
          <w:iCs w:val="0"/>
          <w:color w:val="auto"/>
          <w:szCs w:val="21"/>
          <w:highlight w:val="none"/>
        </w:rPr>
        <w:fldChar w:fldCharType="end"/>
      </w:r>
    </w:p>
    <w:p w14:paraId="56EDCD92">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_Toc17302 </w:instrText>
      </w:r>
      <w:r>
        <w:rPr>
          <w:i w:val="0"/>
          <w:iCs w:val="0"/>
          <w:szCs w:val="21"/>
          <w:highlight w:val="none"/>
        </w:rPr>
        <w:fldChar w:fldCharType="separate"/>
      </w:r>
      <w:r>
        <w:rPr>
          <w:rFonts w:hint="default" w:ascii="Arial" w:hAnsi="Arial" w:cs="Arial"/>
          <w:i w:val="0"/>
          <w:iCs w:val="0"/>
          <w:szCs w:val="24"/>
        </w:rPr>
        <w:t xml:space="preserve">14.4 </w:t>
      </w:r>
      <w:r>
        <w:rPr>
          <w:rFonts w:hint="eastAsia"/>
          <w:i w:val="0"/>
          <w:iCs w:val="0"/>
          <w:szCs w:val="21"/>
          <w:highlight w:val="none"/>
        </w:rPr>
        <w:t>仪器仪表交货</w:t>
      </w:r>
      <w:r>
        <w:tab/>
      </w:r>
      <w:r>
        <w:fldChar w:fldCharType="begin"/>
      </w:r>
      <w:r>
        <w:instrText xml:space="preserve"> PAGEREF _Toc17302 \h </w:instrText>
      </w:r>
      <w:r>
        <w:fldChar w:fldCharType="separate"/>
      </w:r>
      <w:r>
        <w:t>73</w:t>
      </w:r>
      <w:r>
        <w:fldChar w:fldCharType="end"/>
      </w:r>
      <w:r>
        <w:rPr>
          <w:i w:val="0"/>
          <w:iCs w:val="0"/>
          <w:color w:val="auto"/>
          <w:szCs w:val="21"/>
          <w:highlight w:val="none"/>
        </w:rPr>
        <w:fldChar w:fldCharType="end"/>
      </w:r>
    </w:p>
    <w:p w14:paraId="5CBD96E8">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_Toc2805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15. </w:t>
      </w:r>
      <w:r>
        <w:rPr>
          <w:rFonts w:hint="eastAsia"/>
          <w:i w:val="0"/>
          <w:iCs w:val="0"/>
          <w:szCs w:val="32"/>
          <w:highlight w:val="none"/>
        </w:rPr>
        <w:t>技术服务及要求</w:t>
      </w:r>
      <w:r>
        <w:tab/>
      </w:r>
      <w:r>
        <w:fldChar w:fldCharType="begin"/>
      </w:r>
      <w:r>
        <w:instrText xml:space="preserve"> PAGEREF _Toc2805 \h </w:instrText>
      </w:r>
      <w:r>
        <w:fldChar w:fldCharType="separate"/>
      </w:r>
      <w:r>
        <w:t>74</w:t>
      </w:r>
      <w:r>
        <w:fldChar w:fldCharType="end"/>
      </w:r>
      <w:r>
        <w:rPr>
          <w:i w:val="0"/>
          <w:iCs w:val="0"/>
          <w:color w:val="auto"/>
          <w:szCs w:val="21"/>
          <w:highlight w:val="none"/>
        </w:rPr>
        <w:fldChar w:fldCharType="end"/>
      </w:r>
    </w:p>
    <w:p w14:paraId="4A0DDCE0">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_Toc4963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16. </w:t>
      </w:r>
      <w:r>
        <w:rPr>
          <w:rFonts w:hint="eastAsia"/>
          <w:i w:val="0"/>
          <w:iCs w:val="0"/>
          <w:szCs w:val="32"/>
          <w:highlight w:val="none"/>
        </w:rPr>
        <w:t>技术培训</w:t>
      </w:r>
      <w:r>
        <w:tab/>
      </w:r>
      <w:r>
        <w:fldChar w:fldCharType="begin"/>
      </w:r>
      <w:r>
        <w:instrText xml:space="preserve"> PAGEREF _Toc4963 \h </w:instrText>
      </w:r>
      <w:r>
        <w:fldChar w:fldCharType="separate"/>
      </w:r>
      <w:r>
        <w:t>75</w:t>
      </w:r>
      <w:r>
        <w:fldChar w:fldCharType="end"/>
      </w:r>
      <w:r>
        <w:rPr>
          <w:i w:val="0"/>
          <w:iCs w:val="0"/>
          <w:color w:val="auto"/>
          <w:szCs w:val="21"/>
          <w:highlight w:val="none"/>
        </w:rPr>
        <w:fldChar w:fldCharType="end"/>
      </w:r>
    </w:p>
    <w:p w14:paraId="273B5889">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_Toc28452 </w:instrText>
      </w:r>
      <w:r>
        <w:rPr>
          <w:i w:val="0"/>
          <w:iCs w:val="0"/>
          <w:szCs w:val="21"/>
          <w:highlight w:val="none"/>
        </w:rPr>
        <w:fldChar w:fldCharType="separate"/>
      </w:r>
      <w:r>
        <w:rPr>
          <w:rFonts w:hint="default" w:ascii="Arial" w:hAnsi="Arial" w:cs="Arial"/>
          <w:i w:val="0"/>
          <w:iCs w:val="0"/>
          <w:szCs w:val="24"/>
        </w:rPr>
        <w:t xml:space="preserve">16.1 </w:t>
      </w:r>
      <w:r>
        <w:rPr>
          <w:rFonts w:hint="eastAsia"/>
          <w:i w:val="0"/>
          <w:iCs w:val="0"/>
          <w:szCs w:val="21"/>
          <w:highlight w:val="none"/>
        </w:rPr>
        <w:t>培训目的</w:t>
      </w:r>
      <w:r>
        <w:tab/>
      </w:r>
      <w:r>
        <w:fldChar w:fldCharType="begin"/>
      </w:r>
      <w:r>
        <w:instrText xml:space="preserve"> PAGEREF _Toc28452 \h </w:instrText>
      </w:r>
      <w:r>
        <w:fldChar w:fldCharType="separate"/>
      </w:r>
      <w:r>
        <w:t>75</w:t>
      </w:r>
      <w:r>
        <w:fldChar w:fldCharType="end"/>
      </w:r>
      <w:r>
        <w:rPr>
          <w:i w:val="0"/>
          <w:iCs w:val="0"/>
          <w:color w:val="auto"/>
          <w:szCs w:val="21"/>
          <w:highlight w:val="none"/>
        </w:rPr>
        <w:fldChar w:fldCharType="end"/>
      </w:r>
    </w:p>
    <w:p w14:paraId="1C439B94">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_Toc2737 </w:instrText>
      </w:r>
      <w:r>
        <w:rPr>
          <w:i w:val="0"/>
          <w:iCs w:val="0"/>
          <w:szCs w:val="21"/>
          <w:highlight w:val="none"/>
        </w:rPr>
        <w:fldChar w:fldCharType="separate"/>
      </w:r>
      <w:r>
        <w:rPr>
          <w:rFonts w:hint="default" w:ascii="Arial" w:hAnsi="Arial" w:cs="Arial"/>
          <w:i w:val="0"/>
          <w:iCs w:val="0"/>
          <w:szCs w:val="24"/>
        </w:rPr>
        <w:t xml:space="preserve">16.2 </w:t>
      </w:r>
      <w:r>
        <w:rPr>
          <w:rFonts w:hint="eastAsia"/>
          <w:i w:val="0"/>
          <w:iCs w:val="0"/>
          <w:szCs w:val="21"/>
          <w:highlight w:val="none"/>
        </w:rPr>
        <w:t>培训要求</w:t>
      </w:r>
      <w:r>
        <w:tab/>
      </w:r>
      <w:r>
        <w:fldChar w:fldCharType="begin"/>
      </w:r>
      <w:r>
        <w:instrText xml:space="preserve"> PAGEREF _Toc2737 \h </w:instrText>
      </w:r>
      <w:r>
        <w:fldChar w:fldCharType="separate"/>
      </w:r>
      <w:r>
        <w:t>75</w:t>
      </w:r>
      <w:r>
        <w:fldChar w:fldCharType="end"/>
      </w:r>
      <w:r>
        <w:rPr>
          <w:i w:val="0"/>
          <w:iCs w:val="0"/>
          <w:color w:val="auto"/>
          <w:szCs w:val="21"/>
          <w:highlight w:val="none"/>
        </w:rPr>
        <w:fldChar w:fldCharType="end"/>
      </w:r>
    </w:p>
    <w:p w14:paraId="7E469D44">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_Toc16843 </w:instrText>
      </w:r>
      <w:r>
        <w:rPr>
          <w:i w:val="0"/>
          <w:iCs w:val="0"/>
          <w:szCs w:val="21"/>
          <w:highlight w:val="none"/>
        </w:rPr>
        <w:fldChar w:fldCharType="separate"/>
      </w:r>
      <w:r>
        <w:rPr>
          <w:rFonts w:hint="default" w:ascii="Arial" w:hAnsi="Arial" w:cs="Arial"/>
          <w:i w:val="0"/>
          <w:iCs w:val="0"/>
          <w:szCs w:val="24"/>
        </w:rPr>
        <w:t xml:space="preserve">16.3 </w:t>
      </w:r>
      <w:r>
        <w:rPr>
          <w:rFonts w:hint="eastAsia"/>
          <w:i w:val="0"/>
          <w:iCs w:val="0"/>
          <w:szCs w:val="21"/>
          <w:highlight w:val="none"/>
        </w:rPr>
        <w:t>培训计划</w:t>
      </w:r>
      <w:r>
        <w:tab/>
      </w:r>
      <w:r>
        <w:fldChar w:fldCharType="begin"/>
      </w:r>
      <w:r>
        <w:instrText xml:space="preserve"> PAGEREF _Toc16843 \h </w:instrText>
      </w:r>
      <w:r>
        <w:fldChar w:fldCharType="separate"/>
      </w:r>
      <w:r>
        <w:t>75</w:t>
      </w:r>
      <w:r>
        <w:fldChar w:fldCharType="end"/>
      </w:r>
      <w:r>
        <w:rPr>
          <w:i w:val="0"/>
          <w:iCs w:val="0"/>
          <w:color w:val="auto"/>
          <w:szCs w:val="21"/>
          <w:highlight w:val="none"/>
        </w:rPr>
        <w:fldChar w:fldCharType="end"/>
      </w:r>
    </w:p>
    <w:p w14:paraId="1EEFAB97">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_Toc31915 </w:instrText>
      </w:r>
      <w:r>
        <w:rPr>
          <w:i w:val="0"/>
          <w:iCs w:val="0"/>
          <w:szCs w:val="21"/>
          <w:highlight w:val="none"/>
        </w:rPr>
        <w:fldChar w:fldCharType="separate"/>
      </w:r>
      <w:r>
        <w:rPr>
          <w:rFonts w:hint="default" w:ascii="Arial" w:hAnsi="Arial" w:cs="Arial"/>
          <w:i w:val="0"/>
          <w:iCs w:val="0"/>
          <w:szCs w:val="24"/>
        </w:rPr>
        <w:t xml:space="preserve">16.4 </w:t>
      </w:r>
      <w:r>
        <w:rPr>
          <w:rFonts w:hint="eastAsia"/>
          <w:i w:val="0"/>
          <w:iCs w:val="0"/>
          <w:szCs w:val="21"/>
          <w:highlight w:val="none"/>
        </w:rPr>
        <w:t>培训材料</w:t>
      </w:r>
      <w:r>
        <w:tab/>
      </w:r>
      <w:r>
        <w:fldChar w:fldCharType="begin"/>
      </w:r>
      <w:r>
        <w:instrText xml:space="preserve"> PAGEREF _Toc31915 \h </w:instrText>
      </w:r>
      <w:r>
        <w:fldChar w:fldCharType="separate"/>
      </w:r>
      <w:r>
        <w:t>76</w:t>
      </w:r>
      <w:r>
        <w:fldChar w:fldCharType="end"/>
      </w:r>
      <w:r>
        <w:rPr>
          <w:i w:val="0"/>
          <w:iCs w:val="0"/>
          <w:color w:val="auto"/>
          <w:szCs w:val="21"/>
          <w:highlight w:val="none"/>
        </w:rPr>
        <w:fldChar w:fldCharType="end"/>
      </w:r>
    </w:p>
    <w:p w14:paraId="7CC6D42A">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_Toc29488 </w:instrText>
      </w:r>
      <w:r>
        <w:rPr>
          <w:i w:val="0"/>
          <w:iCs w:val="0"/>
          <w:szCs w:val="21"/>
          <w:highlight w:val="none"/>
        </w:rPr>
        <w:fldChar w:fldCharType="separate"/>
      </w:r>
      <w:r>
        <w:rPr>
          <w:rFonts w:hint="default" w:ascii="Arial" w:hAnsi="Arial" w:cs="Arial"/>
          <w:i w:val="0"/>
          <w:iCs w:val="0"/>
          <w:szCs w:val="24"/>
        </w:rPr>
        <w:t xml:space="preserve">16.5 </w:t>
      </w:r>
      <w:r>
        <w:rPr>
          <w:rFonts w:hint="eastAsia"/>
          <w:i w:val="0"/>
          <w:iCs w:val="0"/>
          <w:szCs w:val="21"/>
          <w:highlight w:val="none"/>
        </w:rPr>
        <w:t>培训准备</w:t>
      </w:r>
      <w:r>
        <w:tab/>
      </w:r>
      <w:r>
        <w:fldChar w:fldCharType="begin"/>
      </w:r>
      <w:r>
        <w:instrText xml:space="preserve"> PAGEREF _Toc29488 \h </w:instrText>
      </w:r>
      <w:r>
        <w:fldChar w:fldCharType="separate"/>
      </w:r>
      <w:r>
        <w:t>76</w:t>
      </w:r>
      <w:r>
        <w:fldChar w:fldCharType="end"/>
      </w:r>
      <w:r>
        <w:rPr>
          <w:i w:val="0"/>
          <w:iCs w:val="0"/>
          <w:color w:val="auto"/>
          <w:szCs w:val="21"/>
          <w:highlight w:val="none"/>
        </w:rPr>
        <w:fldChar w:fldCharType="end"/>
      </w:r>
    </w:p>
    <w:p w14:paraId="6B757118">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_Toc801 </w:instrText>
      </w:r>
      <w:r>
        <w:rPr>
          <w:i w:val="0"/>
          <w:iCs w:val="0"/>
          <w:szCs w:val="21"/>
          <w:highlight w:val="none"/>
        </w:rPr>
        <w:fldChar w:fldCharType="separate"/>
      </w:r>
      <w:r>
        <w:rPr>
          <w:rFonts w:hint="default" w:ascii="Arial" w:hAnsi="Arial" w:cs="Arial"/>
          <w:i w:val="0"/>
          <w:iCs w:val="0"/>
          <w:szCs w:val="24"/>
        </w:rPr>
        <w:t xml:space="preserve">16.6 </w:t>
      </w:r>
      <w:r>
        <w:rPr>
          <w:rFonts w:hint="eastAsia"/>
          <w:i w:val="0"/>
          <w:iCs w:val="0"/>
          <w:szCs w:val="21"/>
          <w:highlight w:val="none"/>
        </w:rPr>
        <w:t>培训内容</w:t>
      </w:r>
      <w:r>
        <w:tab/>
      </w:r>
      <w:r>
        <w:fldChar w:fldCharType="begin"/>
      </w:r>
      <w:r>
        <w:instrText xml:space="preserve"> PAGEREF _Toc801 \h </w:instrText>
      </w:r>
      <w:r>
        <w:fldChar w:fldCharType="separate"/>
      </w:r>
      <w:r>
        <w:t>76</w:t>
      </w:r>
      <w:r>
        <w:fldChar w:fldCharType="end"/>
      </w:r>
      <w:r>
        <w:rPr>
          <w:i w:val="0"/>
          <w:iCs w:val="0"/>
          <w:color w:val="auto"/>
          <w:szCs w:val="21"/>
          <w:highlight w:val="none"/>
        </w:rPr>
        <w:fldChar w:fldCharType="end"/>
      </w:r>
    </w:p>
    <w:p w14:paraId="471CAD56">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_Toc32256 </w:instrText>
      </w:r>
      <w:r>
        <w:rPr>
          <w:i w:val="0"/>
          <w:iCs w:val="0"/>
          <w:szCs w:val="21"/>
          <w:highlight w:val="none"/>
        </w:rPr>
        <w:fldChar w:fldCharType="separate"/>
      </w:r>
      <w:r>
        <w:rPr>
          <w:rFonts w:hint="default" w:ascii="Arial" w:hAnsi="Arial" w:cs="Arial"/>
          <w:i w:val="0"/>
          <w:iCs w:val="0"/>
          <w:szCs w:val="22"/>
        </w:rPr>
        <w:t xml:space="preserve">16.6.1 </w:t>
      </w:r>
      <w:r>
        <w:rPr>
          <w:rFonts w:hint="eastAsia"/>
          <w:i w:val="0"/>
          <w:iCs w:val="0"/>
          <w:szCs w:val="22"/>
          <w:highlight w:val="none"/>
        </w:rPr>
        <w:t>系统</w:t>
      </w:r>
      <w:r>
        <w:tab/>
      </w:r>
      <w:r>
        <w:fldChar w:fldCharType="begin"/>
      </w:r>
      <w:r>
        <w:instrText xml:space="preserve"> PAGEREF _Toc32256 \h </w:instrText>
      </w:r>
      <w:r>
        <w:fldChar w:fldCharType="separate"/>
      </w:r>
      <w:r>
        <w:t>76</w:t>
      </w:r>
      <w:r>
        <w:fldChar w:fldCharType="end"/>
      </w:r>
      <w:r>
        <w:rPr>
          <w:i w:val="0"/>
          <w:iCs w:val="0"/>
          <w:color w:val="auto"/>
          <w:szCs w:val="21"/>
          <w:highlight w:val="none"/>
        </w:rPr>
        <w:fldChar w:fldCharType="end"/>
      </w:r>
    </w:p>
    <w:p w14:paraId="4FC1ADF6">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_Toc15808 </w:instrText>
      </w:r>
      <w:r>
        <w:rPr>
          <w:i w:val="0"/>
          <w:iCs w:val="0"/>
          <w:szCs w:val="21"/>
          <w:highlight w:val="none"/>
        </w:rPr>
        <w:fldChar w:fldCharType="separate"/>
      </w:r>
      <w:r>
        <w:rPr>
          <w:rFonts w:hint="default" w:ascii="Arial" w:hAnsi="Arial" w:cs="Arial"/>
          <w:i w:val="0"/>
          <w:iCs w:val="0"/>
          <w:szCs w:val="22"/>
        </w:rPr>
        <w:t xml:space="preserve">16.6.2 </w:t>
      </w:r>
      <w:r>
        <w:rPr>
          <w:rFonts w:hint="eastAsia"/>
          <w:i w:val="0"/>
          <w:iCs w:val="0"/>
          <w:szCs w:val="22"/>
          <w:highlight w:val="none"/>
        </w:rPr>
        <w:t>硬件</w:t>
      </w:r>
      <w:r>
        <w:tab/>
      </w:r>
      <w:r>
        <w:fldChar w:fldCharType="begin"/>
      </w:r>
      <w:r>
        <w:instrText xml:space="preserve"> PAGEREF _Toc15808 \h </w:instrText>
      </w:r>
      <w:r>
        <w:fldChar w:fldCharType="separate"/>
      </w:r>
      <w:r>
        <w:t>77</w:t>
      </w:r>
      <w:r>
        <w:fldChar w:fldCharType="end"/>
      </w:r>
      <w:r>
        <w:rPr>
          <w:i w:val="0"/>
          <w:iCs w:val="0"/>
          <w:color w:val="auto"/>
          <w:szCs w:val="21"/>
          <w:highlight w:val="none"/>
        </w:rPr>
        <w:fldChar w:fldCharType="end"/>
      </w:r>
    </w:p>
    <w:p w14:paraId="3BCCE5E5">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_Toc7196 </w:instrText>
      </w:r>
      <w:r>
        <w:rPr>
          <w:i w:val="0"/>
          <w:iCs w:val="0"/>
          <w:szCs w:val="21"/>
          <w:highlight w:val="none"/>
        </w:rPr>
        <w:fldChar w:fldCharType="separate"/>
      </w:r>
      <w:r>
        <w:rPr>
          <w:rFonts w:hint="default" w:ascii="Arial" w:hAnsi="Arial" w:cs="Arial"/>
          <w:i w:val="0"/>
          <w:iCs w:val="0"/>
          <w:szCs w:val="22"/>
        </w:rPr>
        <w:t xml:space="preserve">16.6.3 </w:t>
      </w:r>
      <w:r>
        <w:rPr>
          <w:rFonts w:hint="eastAsia"/>
          <w:i w:val="0"/>
          <w:iCs w:val="0"/>
          <w:szCs w:val="22"/>
          <w:highlight w:val="none"/>
        </w:rPr>
        <w:t>软件</w:t>
      </w:r>
      <w:r>
        <w:tab/>
      </w:r>
      <w:r>
        <w:fldChar w:fldCharType="begin"/>
      </w:r>
      <w:r>
        <w:instrText xml:space="preserve"> PAGEREF _Toc7196 \h </w:instrText>
      </w:r>
      <w:r>
        <w:fldChar w:fldCharType="separate"/>
      </w:r>
      <w:r>
        <w:t>77</w:t>
      </w:r>
      <w:r>
        <w:fldChar w:fldCharType="end"/>
      </w:r>
      <w:r>
        <w:rPr>
          <w:i w:val="0"/>
          <w:iCs w:val="0"/>
          <w:color w:val="auto"/>
          <w:szCs w:val="21"/>
          <w:highlight w:val="none"/>
        </w:rPr>
        <w:fldChar w:fldCharType="end"/>
      </w:r>
    </w:p>
    <w:p w14:paraId="71FAD5D4">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_Toc23586 </w:instrText>
      </w:r>
      <w:r>
        <w:rPr>
          <w:i w:val="0"/>
          <w:iCs w:val="0"/>
          <w:szCs w:val="21"/>
          <w:highlight w:val="none"/>
        </w:rPr>
        <w:fldChar w:fldCharType="separate"/>
      </w:r>
      <w:r>
        <w:rPr>
          <w:rFonts w:hint="default" w:ascii="Arial" w:hAnsi="Arial" w:cs="Arial"/>
          <w:i w:val="0"/>
          <w:iCs w:val="0"/>
          <w:szCs w:val="22"/>
        </w:rPr>
        <w:t xml:space="preserve">16.6.4 </w:t>
      </w:r>
      <w:r>
        <w:rPr>
          <w:rFonts w:hint="eastAsia"/>
          <w:i w:val="0"/>
          <w:iCs w:val="0"/>
          <w:szCs w:val="22"/>
          <w:highlight w:val="none"/>
        </w:rPr>
        <w:t>维护</w:t>
      </w:r>
      <w:r>
        <w:tab/>
      </w:r>
      <w:r>
        <w:fldChar w:fldCharType="begin"/>
      </w:r>
      <w:r>
        <w:instrText xml:space="preserve"> PAGEREF _Toc23586 \h </w:instrText>
      </w:r>
      <w:r>
        <w:fldChar w:fldCharType="separate"/>
      </w:r>
      <w:r>
        <w:t>78</w:t>
      </w:r>
      <w:r>
        <w:fldChar w:fldCharType="end"/>
      </w:r>
      <w:r>
        <w:rPr>
          <w:i w:val="0"/>
          <w:iCs w:val="0"/>
          <w:color w:val="auto"/>
          <w:szCs w:val="21"/>
          <w:highlight w:val="none"/>
        </w:rPr>
        <w:fldChar w:fldCharType="end"/>
      </w:r>
    </w:p>
    <w:p w14:paraId="22122FFE">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_Toc12015 </w:instrText>
      </w:r>
      <w:r>
        <w:rPr>
          <w:i w:val="0"/>
          <w:iCs w:val="0"/>
          <w:szCs w:val="21"/>
          <w:highlight w:val="none"/>
        </w:rPr>
        <w:fldChar w:fldCharType="separate"/>
      </w:r>
      <w:r>
        <w:rPr>
          <w:rFonts w:hint="default" w:ascii="Arial" w:hAnsi="Arial" w:cs="Arial"/>
          <w:i w:val="0"/>
          <w:iCs w:val="0"/>
          <w:szCs w:val="22"/>
        </w:rPr>
        <w:t xml:space="preserve">16.6.5 </w:t>
      </w:r>
      <w:r>
        <w:rPr>
          <w:rFonts w:hint="eastAsia"/>
          <w:i w:val="0"/>
          <w:iCs w:val="0"/>
          <w:szCs w:val="22"/>
          <w:highlight w:val="none"/>
        </w:rPr>
        <w:t>故障检测</w:t>
      </w:r>
      <w:r>
        <w:tab/>
      </w:r>
      <w:r>
        <w:fldChar w:fldCharType="begin"/>
      </w:r>
      <w:r>
        <w:instrText xml:space="preserve"> PAGEREF _Toc12015 \h </w:instrText>
      </w:r>
      <w:r>
        <w:fldChar w:fldCharType="separate"/>
      </w:r>
      <w:r>
        <w:t>78</w:t>
      </w:r>
      <w:r>
        <w:fldChar w:fldCharType="end"/>
      </w:r>
      <w:r>
        <w:rPr>
          <w:i w:val="0"/>
          <w:iCs w:val="0"/>
          <w:color w:val="auto"/>
          <w:szCs w:val="21"/>
          <w:highlight w:val="none"/>
        </w:rPr>
        <w:fldChar w:fldCharType="end"/>
      </w:r>
    </w:p>
    <w:p w14:paraId="2F53FDA7">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_Toc20828 </w:instrText>
      </w:r>
      <w:r>
        <w:rPr>
          <w:i w:val="0"/>
          <w:iCs w:val="0"/>
          <w:szCs w:val="21"/>
          <w:highlight w:val="none"/>
        </w:rPr>
        <w:fldChar w:fldCharType="separate"/>
      </w:r>
      <w:r>
        <w:rPr>
          <w:rFonts w:hint="default" w:ascii="Arial" w:hAnsi="Arial" w:cs="Arial"/>
          <w:i w:val="0"/>
          <w:iCs w:val="0"/>
          <w:szCs w:val="22"/>
        </w:rPr>
        <w:t xml:space="preserve">16.6.6 </w:t>
      </w:r>
      <w:r>
        <w:rPr>
          <w:rFonts w:hint="eastAsia"/>
          <w:i w:val="0"/>
          <w:iCs w:val="0"/>
          <w:szCs w:val="22"/>
          <w:highlight w:val="none"/>
        </w:rPr>
        <w:t>操作和显示工作站/设备</w:t>
      </w:r>
      <w:r>
        <w:tab/>
      </w:r>
      <w:r>
        <w:fldChar w:fldCharType="begin"/>
      </w:r>
      <w:r>
        <w:instrText xml:space="preserve"> PAGEREF _Toc20828 \h </w:instrText>
      </w:r>
      <w:r>
        <w:fldChar w:fldCharType="separate"/>
      </w:r>
      <w:r>
        <w:t>78</w:t>
      </w:r>
      <w:r>
        <w:fldChar w:fldCharType="end"/>
      </w:r>
      <w:r>
        <w:rPr>
          <w:i w:val="0"/>
          <w:iCs w:val="0"/>
          <w:color w:val="auto"/>
          <w:szCs w:val="21"/>
          <w:highlight w:val="none"/>
        </w:rPr>
        <w:fldChar w:fldCharType="end"/>
      </w:r>
    </w:p>
    <w:p w14:paraId="04939039">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_Toc24388 </w:instrText>
      </w:r>
      <w:r>
        <w:rPr>
          <w:i w:val="0"/>
          <w:iCs w:val="0"/>
          <w:szCs w:val="21"/>
          <w:highlight w:val="none"/>
        </w:rPr>
        <w:fldChar w:fldCharType="separate"/>
      </w:r>
      <w:r>
        <w:rPr>
          <w:rFonts w:hint="default" w:ascii="Arial" w:hAnsi="Arial" w:cs="Arial"/>
          <w:i w:val="0"/>
          <w:iCs w:val="0"/>
          <w:szCs w:val="22"/>
        </w:rPr>
        <w:t xml:space="preserve">16.6.7 </w:t>
      </w:r>
      <w:r>
        <w:rPr>
          <w:rFonts w:hint="eastAsia"/>
          <w:i w:val="0"/>
          <w:iCs w:val="0"/>
          <w:szCs w:val="22"/>
          <w:highlight w:val="none"/>
        </w:rPr>
        <w:t>运营管理</w:t>
      </w:r>
      <w:r>
        <w:tab/>
      </w:r>
      <w:r>
        <w:fldChar w:fldCharType="begin"/>
      </w:r>
      <w:r>
        <w:instrText xml:space="preserve"> PAGEREF _Toc24388 \h </w:instrText>
      </w:r>
      <w:r>
        <w:fldChar w:fldCharType="separate"/>
      </w:r>
      <w:r>
        <w:t>78</w:t>
      </w:r>
      <w:r>
        <w:fldChar w:fldCharType="end"/>
      </w:r>
      <w:r>
        <w:rPr>
          <w:i w:val="0"/>
          <w:iCs w:val="0"/>
          <w:color w:val="auto"/>
          <w:szCs w:val="21"/>
          <w:highlight w:val="none"/>
        </w:rPr>
        <w:fldChar w:fldCharType="end"/>
      </w:r>
    </w:p>
    <w:p w14:paraId="2D0D0326">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_Toc17648 </w:instrText>
      </w:r>
      <w:r>
        <w:rPr>
          <w:i w:val="0"/>
          <w:iCs w:val="0"/>
          <w:szCs w:val="21"/>
          <w:highlight w:val="none"/>
        </w:rPr>
        <w:fldChar w:fldCharType="separate"/>
      </w:r>
      <w:r>
        <w:rPr>
          <w:rFonts w:hint="default" w:ascii="Arial" w:hAnsi="Arial" w:cs="Arial"/>
          <w:i w:val="0"/>
          <w:iCs w:val="0"/>
          <w:szCs w:val="24"/>
        </w:rPr>
        <w:t xml:space="preserve">16.7 </w:t>
      </w:r>
      <w:r>
        <w:rPr>
          <w:rFonts w:hint="eastAsia"/>
          <w:i w:val="0"/>
          <w:iCs w:val="0"/>
          <w:szCs w:val="21"/>
          <w:highlight w:val="none"/>
        </w:rPr>
        <w:t>培训考核</w:t>
      </w:r>
      <w:r>
        <w:tab/>
      </w:r>
      <w:r>
        <w:fldChar w:fldCharType="begin"/>
      </w:r>
      <w:r>
        <w:instrText xml:space="preserve"> PAGEREF _Toc17648 \h </w:instrText>
      </w:r>
      <w:r>
        <w:fldChar w:fldCharType="separate"/>
      </w:r>
      <w:r>
        <w:t>79</w:t>
      </w:r>
      <w:r>
        <w:fldChar w:fldCharType="end"/>
      </w:r>
      <w:r>
        <w:rPr>
          <w:i w:val="0"/>
          <w:iCs w:val="0"/>
          <w:color w:val="auto"/>
          <w:szCs w:val="21"/>
          <w:highlight w:val="none"/>
        </w:rPr>
        <w:fldChar w:fldCharType="end"/>
      </w:r>
    </w:p>
    <w:p w14:paraId="1644864C">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_Toc22770 </w:instrText>
      </w:r>
      <w:r>
        <w:rPr>
          <w:i w:val="0"/>
          <w:iCs w:val="0"/>
          <w:szCs w:val="21"/>
          <w:highlight w:val="none"/>
        </w:rPr>
        <w:fldChar w:fldCharType="separate"/>
      </w:r>
      <w:r>
        <w:rPr>
          <w:rFonts w:hint="default" w:ascii="Arial" w:hAnsi="Arial" w:cs="Arial"/>
          <w:i w:val="0"/>
          <w:iCs w:val="0"/>
          <w:szCs w:val="24"/>
        </w:rPr>
        <w:t xml:space="preserve">16.8 </w:t>
      </w:r>
      <w:r>
        <w:rPr>
          <w:rFonts w:hint="eastAsia"/>
          <w:i w:val="0"/>
          <w:iCs w:val="0"/>
          <w:szCs w:val="21"/>
          <w:highlight w:val="none"/>
        </w:rPr>
        <w:t>培训费用</w:t>
      </w:r>
      <w:r>
        <w:tab/>
      </w:r>
      <w:r>
        <w:fldChar w:fldCharType="begin"/>
      </w:r>
      <w:r>
        <w:instrText xml:space="preserve"> PAGEREF _Toc22770 \h </w:instrText>
      </w:r>
      <w:r>
        <w:fldChar w:fldCharType="separate"/>
      </w:r>
      <w:r>
        <w:t>79</w:t>
      </w:r>
      <w:r>
        <w:fldChar w:fldCharType="end"/>
      </w:r>
      <w:r>
        <w:rPr>
          <w:i w:val="0"/>
          <w:iCs w:val="0"/>
          <w:color w:val="auto"/>
          <w:szCs w:val="21"/>
          <w:highlight w:val="none"/>
        </w:rPr>
        <w:fldChar w:fldCharType="end"/>
      </w:r>
    </w:p>
    <w:p w14:paraId="6C469D9C">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_Toc13385 </w:instrText>
      </w:r>
      <w:r>
        <w:rPr>
          <w:i w:val="0"/>
          <w:iCs w:val="0"/>
          <w:szCs w:val="21"/>
          <w:highlight w:val="none"/>
        </w:rPr>
        <w:fldChar w:fldCharType="separate"/>
      </w:r>
      <w:r>
        <w:rPr>
          <w:rFonts w:hint="default" w:ascii="Arial" w:hAnsi="Arial" w:cs="Arial"/>
          <w:i w:val="0"/>
          <w:iCs w:val="0"/>
          <w:szCs w:val="24"/>
        </w:rPr>
        <w:t xml:space="preserve">16.9 </w:t>
      </w:r>
      <w:r>
        <w:rPr>
          <w:rFonts w:hint="eastAsia"/>
          <w:i w:val="0"/>
          <w:iCs w:val="0"/>
          <w:szCs w:val="21"/>
          <w:highlight w:val="none"/>
        </w:rPr>
        <w:t>现场培训</w:t>
      </w:r>
      <w:r>
        <w:tab/>
      </w:r>
      <w:r>
        <w:fldChar w:fldCharType="begin"/>
      </w:r>
      <w:r>
        <w:instrText xml:space="preserve"> PAGEREF _Toc13385 \h </w:instrText>
      </w:r>
      <w:r>
        <w:fldChar w:fldCharType="separate"/>
      </w:r>
      <w:r>
        <w:t>79</w:t>
      </w:r>
      <w:r>
        <w:fldChar w:fldCharType="end"/>
      </w:r>
      <w:r>
        <w:rPr>
          <w:i w:val="0"/>
          <w:iCs w:val="0"/>
          <w:color w:val="auto"/>
          <w:szCs w:val="21"/>
          <w:highlight w:val="none"/>
        </w:rPr>
        <w:fldChar w:fldCharType="end"/>
      </w:r>
    </w:p>
    <w:p w14:paraId="3290E7C2">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_Toc26849 </w:instrText>
      </w:r>
      <w:r>
        <w:rPr>
          <w:i w:val="0"/>
          <w:iCs w:val="0"/>
          <w:szCs w:val="21"/>
          <w:highlight w:val="none"/>
        </w:rPr>
        <w:fldChar w:fldCharType="separate"/>
      </w:r>
      <w:r>
        <w:rPr>
          <w:rFonts w:hint="default" w:ascii="Arial" w:hAnsi="Arial" w:cs="Arial"/>
          <w:i w:val="0"/>
          <w:iCs w:val="0"/>
          <w:szCs w:val="24"/>
        </w:rPr>
        <w:t xml:space="preserve">16.10 </w:t>
      </w:r>
      <w:r>
        <w:rPr>
          <w:rFonts w:hint="eastAsia"/>
          <w:i w:val="0"/>
          <w:iCs w:val="0"/>
          <w:szCs w:val="21"/>
          <w:highlight w:val="none"/>
        </w:rPr>
        <w:t>投标要求</w:t>
      </w:r>
      <w:r>
        <w:tab/>
      </w:r>
      <w:r>
        <w:fldChar w:fldCharType="begin"/>
      </w:r>
      <w:r>
        <w:instrText xml:space="preserve"> PAGEREF _Toc26849 \h </w:instrText>
      </w:r>
      <w:r>
        <w:fldChar w:fldCharType="separate"/>
      </w:r>
      <w:r>
        <w:t>79</w:t>
      </w:r>
      <w:r>
        <w:fldChar w:fldCharType="end"/>
      </w:r>
      <w:r>
        <w:rPr>
          <w:i w:val="0"/>
          <w:iCs w:val="0"/>
          <w:color w:val="auto"/>
          <w:szCs w:val="21"/>
          <w:highlight w:val="none"/>
        </w:rPr>
        <w:fldChar w:fldCharType="end"/>
      </w:r>
    </w:p>
    <w:p w14:paraId="144043F1">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_Toc4400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17. </w:t>
      </w:r>
      <w:r>
        <w:rPr>
          <w:rFonts w:hint="eastAsia"/>
          <w:i w:val="0"/>
          <w:iCs w:val="0"/>
          <w:szCs w:val="32"/>
          <w:highlight w:val="none"/>
        </w:rPr>
        <w:t>系统质保期</w:t>
      </w:r>
      <w:r>
        <w:tab/>
      </w:r>
      <w:r>
        <w:fldChar w:fldCharType="begin"/>
      </w:r>
      <w:r>
        <w:instrText xml:space="preserve"> PAGEREF _Toc4400 \h </w:instrText>
      </w:r>
      <w:r>
        <w:fldChar w:fldCharType="separate"/>
      </w:r>
      <w:r>
        <w:t>80</w:t>
      </w:r>
      <w:r>
        <w:fldChar w:fldCharType="end"/>
      </w:r>
      <w:r>
        <w:rPr>
          <w:i w:val="0"/>
          <w:iCs w:val="0"/>
          <w:color w:val="auto"/>
          <w:szCs w:val="21"/>
          <w:highlight w:val="none"/>
        </w:rPr>
        <w:fldChar w:fldCharType="end"/>
      </w:r>
    </w:p>
    <w:p w14:paraId="136B5E8E">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_Toc14384 </w:instrText>
      </w:r>
      <w:r>
        <w:rPr>
          <w:i w:val="0"/>
          <w:iCs w:val="0"/>
          <w:szCs w:val="21"/>
          <w:highlight w:val="none"/>
        </w:rPr>
        <w:fldChar w:fldCharType="separate"/>
      </w:r>
      <w:r>
        <w:rPr>
          <w:rFonts w:hint="default" w:ascii="Arial" w:hAnsi="Arial" w:cs="Arial"/>
          <w:i w:val="0"/>
          <w:iCs w:val="0"/>
          <w:szCs w:val="24"/>
        </w:rPr>
        <w:t xml:space="preserve">17.1 </w:t>
      </w:r>
      <w:r>
        <w:rPr>
          <w:rFonts w:hint="eastAsia"/>
          <w:i w:val="0"/>
          <w:iCs w:val="0"/>
          <w:szCs w:val="21"/>
          <w:highlight w:val="none"/>
        </w:rPr>
        <w:t>系统质保期</w:t>
      </w:r>
      <w:r>
        <w:tab/>
      </w:r>
      <w:r>
        <w:fldChar w:fldCharType="begin"/>
      </w:r>
      <w:r>
        <w:instrText xml:space="preserve"> PAGEREF _Toc14384 \h </w:instrText>
      </w:r>
      <w:r>
        <w:fldChar w:fldCharType="separate"/>
      </w:r>
      <w:r>
        <w:t>80</w:t>
      </w:r>
      <w:r>
        <w:fldChar w:fldCharType="end"/>
      </w:r>
      <w:r>
        <w:rPr>
          <w:i w:val="0"/>
          <w:iCs w:val="0"/>
          <w:color w:val="auto"/>
          <w:szCs w:val="21"/>
          <w:highlight w:val="none"/>
        </w:rPr>
        <w:fldChar w:fldCharType="end"/>
      </w:r>
    </w:p>
    <w:p w14:paraId="28EE75A7">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_Toc19676 </w:instrText>
      </w:r>
      <w:r>
        <w:rPr>
          <w:i w:val="0"/>
          <w:iCs w:val="0"/>
          <w:szCs w:val="21"/>
          <w:highlight w:val="none"/>
        </w:rPr>
        <w:fldChar w:fldCharType="separate"/>
      </w:r>
      <w:r>
        <w:rPr>
          <w:rFonts w:hint="default" w:ascii="Arial" w:hAnsi="Arial" w:cs="Arial"/>
          <w:i w:val="0"/>
          <w:iCs w:val="0"/>
          <w:szCs w:val="24"/>
        </w:rPr>
        <w:t xml:space="preserve">17.2 </w:t>
      </w:r>
      <w:r>
        <w:rPr>
          <w:rFonts w:hint="eastAsia"/>
          <w:i w:val="0"/>
          <w:iCs w:val="0"/>
          <w:szCs w:val="21"/>
          <w:highlight w:val="none"/>
        </w:rPr>
        <w:t>质保期内服务要求</w:t>
      </w:r>
      <w:r>
        <w:tab/>
      </w:r>
      <w:r>
        <w:fldChar w:fldCharType="begin"/>
      </w:r>
      <w:r>
        <w:instrText xml:space="preserve"> PAGEREF _Toc19676 \h </w:instrText>
      </w:r>
      <w:r>
        <w:fldChar w:fldCharType="separate"/>
      </w:r>
      <w:r>
        <w:t>80</w:t>
      </w:r>
      <w:r>
        <w:fldChar w:fldCharType="end"/>
      </w:r>
      <w:r>
        <w:rPr>
          <w:i w:val="0"/>
          <w:iCs w:val="0"/>
          <w:color w:val="auto"/>
          <w:szCs w:val="21"/>
          <w:highlight w:val="none"/>
        </w:rPr>
        <w:fldChar w:fldCharType="end"/>
      </w:r>
    </w:p>
    <w:p w14:paraId="2D7FA466">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_Toc30080 </w:instrText>
      </w:r>
      <w:r>
        <w:rPr>
          <w:i w:val="0"/>
          <w:iCs w:val="0"/>
          <w:szCs w:val="21"/>
          <w:highlight w:val="none"/>
        </w:rPr>
        <w:fldChar w:fldCharType="separate"/>
      </w:r>
      <w:r>
        <w:rPr>
          <w:rFonts w:hint="default" w:ascii="Arial" w:hAnsi="Arial" w:cs="Arial"/>
          <w:i w:val="0"/>
          <w:iCs w:val="0"/>
          <w:szCs w:val="24"/>
        </w:rPr>
        <w:t xml:space="preserve">17.3 </w:t>
      </w:r>
      <w:r>
        <w:rPr>
          <w:rFonts w:hint="eastAsia"/>
          <w:i w:val="0"/>
          <w:iCs w:val="0"/>
          <w:szCs w:val="21"/>
          <w:highlight w:val="none"/>
        </w:rPr>
        <w:t>投标要求</w:t>
      </w:r>
      <w:r>
        <w:tab/>
      </w:r>
      <w:r>
        <w:fldChar w:fldCharType="begin"/>
      </w:r>
      <w:r>
        <w:instrText xml:space="preserve"> PAGEREF _Toc30080 \h </w:instrText>
      </w:r>
      <w:r>
        <w:fldChar w:fldCharType="separate"/>
      </w:r>
      <w:r>
        <w:t>80</w:t>
      </w:r>
      <w:r>
        <w:fldChar w:fldCharType="end"/>
      </w:r>
      <w:r>
        <w:rPr>
          <w:i w:val="0"/>
          <w:iCs w:val="0"/>
          <w:color w:val="auto"/>
          <w:szCs w:val="21"/>
          <w:highlight w:val="none"/>
        </w:rPr>
        <w:fldChar w:fldCharType="end"/>
      </w:r>
    </w:p>
    <w:p w14:paraId="6D783980">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_Toc31883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18. </w:t>
      </w:r>
      <w:r>
        <w:rPr>
          <w:rFonts w:hint="eastAsia"/>
          <w:i w:val="0"/>
          <w:iCs w:val="0"/>
          <w:szCs w:val="32"/>
          <w:highlight w:val="none"/>
        </w:rPr>
        <w:t>系统质量保证</w:t>
      </w:r>
      <w:r>
        <w:tab/>
      </w:r>
      <w:r>
        <w:fldChar w:fldCharType="begin"/>
      </w:r>
      <w:r>
        <w:instrText xml:space="preserve"> PAGEREF _Toc31883 \h </w:instrText>
      </w:r>
      <w:r>
        <w:fldChar w:fldCharType="separate"/>
      </w:r>
      <w:r>
        <w:t>82</w:t>
      </w:r>
      <w:r>
        <w:fldChar w:fldCharType="end"/>
      </w:r>
      <w:r>
        <w:rPr>
          <w:i w:val="0"/>
          <w:iCs w:val="0"/>
          <w:color w:val="auto"/>
          <w:szCs w:val="21"/>
          <w:highlight w:val="none"/>
        </w:rPr>
        <w:fldChar w:fldCharType="end"/>
      </w:r>
    </w:p>
    <w:p w14:paraId="7BA8B71A">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_Toc1462 </w:instrText>
      </w:r>
      <w:r>
        <w:rPr>
          <w:i w:val="0"/>
          <w:iCs w:val="0"/>
          <w:szCs w:val="21"/>
          <w:highlight w:val="none"/>
        </w:rPr>
        <w:fldChar w:fldCharType="separate"/>
      </w:r>
      <w:r>
        <w:rPr>
          <w:rFonts w:hint="default" w:ascii="Arial" w:hAnsi="Arial" w:cs="Arial"/>
          <w:i w:val="0"/>
          <w:iCs w:val="0"/>
          <w:szCs w:val="24"/>
        </w:rPr>
        <w:t xml:space="preserve">18.1 </w:t>
      </w:r>
      <w:r>
        <w:rPr>
          <w:rFonts w:hint="eastAsia"/>
          <w:i w:val="0"/>
          <w:iCs w:val="0"/>
          <w:szCs w:val="21"/>
          <w:highlight w:val="none"/>
        </w:rPr>
        <w:t>系统质量保证措施</w:t>
      </w:r>
      <w:r>
        <w:tab/>
      </w:r>
      <w:r>
        <w:fldChar w:fldCharType="begin"/>
      </w:r>
      <w:r>
        <w:instrText xml:space="preserve"> PAGEREF _Toc1462 \h </w:instrText>
      </w:r>
      <w:r>
        <w:fldChar w:fldCharType="separate"/>
      </w:r>
      <w:r>
        <w:t>82</w:t>
      </w:r>
      <w:r>
        <w:fldChar w:fldCharType="end"/>
      </w:r>
      <w:r>
        <w:rPr>
          <w:i w:val="0"/>
          <w:iCs w:val="0"/>
          <w:color w:val="auto"/>
          <w:szCs w:val="21"/>
          <w:highlight w:val="none"/>
        </w:rPr>
        <w:fldChar w:fldCharType="end"/>
      </w:r>
    </w:p>
    <w:p w14:paraId="244FD039">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_Toc27584 </w:instrText>
      </w:r>
      <w:r>
        <w:rPr>
          <w:i w:val="0"/>
          <w:iCs w:val="0"/>
          <w:szCs w:val="21"/>
          <w:highlight w:val="none"/>
        </w:rPr>
        <w:fldChar w:fldCharType="separate"/>
      </w:r>
      <w:r>
        <w:rPr>
          <w:rFonts w:hint="default" w:ascii="Arial" w:hAnsi="Arial" w:cs="Arial"/>
          <w:i w:val="0"/>
          <w:iCs w:val="0"/>
          <w:szCs w:val="22"/>
        </w:rPr>
        <w:t xml:space="preserve">18.1.1 </w:t>
      </w:r>
      <w:r>
        <w:rPr>
          <w:rFonts w:hint="eastAsia"/>
          <w:i w:val="0"/>
          <w:iCs w:val="0"/>
          <w:szCs w:val="22"/>
          <w:highlight w:val="none"/>
        </w:rPr>
        <w:t>质量体系</w:t>
      </w:r>
      <w:r>
        <w:tab/>
      </w:r>
      <w:r>
        <w:fldChar w:fldCharType="begin"/>
      </w:r>
      <w:r>
        <w:instrText xml:space="preserve"> PAGEREF _Toc27584 \h </w:instrText>
      </w:r>
      <w:r>
        <w:fldChar w:fldCharType="separate"/>
      </w:r>
      <w:r>
        <w:t>82</w:t>
      </w:r>
      <w:r>
        <w:fldChar w:fldCharType="end"/>
      </w:r>
      <w:r>
        <w:rPr>
          <w:i w:val="0"/>
          <w:iCs w:val="0"/>
          <w:color w:val="auto"/>
          <w:szCs w:val="21"/>
          <w:highlight w:val="none"/>
        </w:rPr>
        <w:fldChar w:fldCharType="end"/>
      </w:r>
    </w:p>
    <w:p w14:paraId="6150E65B">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_Toc24499 </w:instrText>
      </w:r>
      <w:r>
        <w:rPr>
          <w:i w:val="0"/>
          <w:iCs w:val="0"/>
          <w:szCs w:val="21"/>
          <w:highlight w:val="none"/>
        </w:rPr>
        <w:fldChar w:fldCharType="separate"/>
      </w:r>
      <w:r>
        <w:rPr>
          <w:rFonts w:hint="default" w:ascii="Arial" w:hAnsi="Arial" w:cs="Arial"/>
          <w:i w:val="0"/>
          <w:iCs w:val="0"/>
          <w:szCs w:val="22"/>
        </w:rPr>
        <w:t xml:space="preserve">18.1.2 </w:t>
      </w:r>
      <w:r>
        <w:rPr>
          <w:rFonts w:hint="eastAsia"/>
          <w:i w:val="0"/>
          <w:iCs w:val="0"/>
          <w:szCs w:val="22"/>
          <w:highlight w:val="none"/>
        </w:rPr>
        <w:t>质量程序文件</w:t>
      </w:r>
      <w:r>
        <w:tab/>
      </w:r>
      <w:r>
        <w:fldChar w:fldCharType="begin"/>
      </w:r>
      <w:r>
        <w:instrText xml:space="preserve"> PAGEREF _Toc24499 \h </w:instrText>
      </w:r>
      <w:r>
        <w:fldChar w:fldCharType="separate"/>
      </w:r>
      <w:r>
        <w:t>82</w:t>
      </w:r>
      <w:r>
        <w:fldChar w:fldCharType="end"/>
      </w:r>
      <w:r>
        <w:rPr>
          <w:i w:val="0"/>
          <w:iCs w:val="0"/>
          <w:color w:val="auto"/>
          <w:szCs w:val="21"/>
          <w:highlight w:val="none"/>
        </w:rPr>
        <w:fldChar w:fldCharType="end"/>
      </w:r>
    </w:p>
    <w:p w14:paraId="6911A39C">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_Toc20892 </w:instrText>
      </w:r>
      <w:r>
        <w:rPr>
          <w:i w:val="0"/>
          <w:iCs w:val="0"/>
          <w:szCs w:val="21"/>
          <w:highlight w:val="none"/>
        </w:rPr>
        <w:fldChar w:fldCharType="separate"/>
      </w:r>
      <w:r>
        <w:rPr>
          <w:rFonts w:hint="default" w:ascii="Arial" w:hAnsi="Arial" w:cs="Arial"/>
          <w:i w:val="0"/>
          <w:iCs w:val="0"/>
          <w:szCs w:val="24"/>
        </w:rPr>
        <w:t xml:space="preserve">18.2 </w:t>
      </w:r>
      <w:r>
        <w:rPr>
          <w:rFonts w:hint="eastAsia"/>
          <w:i w:val="0"/>
          <w:iCs w:val="0"/>
          <w:szCs w:val="21"/>
          <w:highlight w:val="none"/>
        </w:rPr>
        <w:t>系统的可靠性要求</w:t>
      </w:r>
      <w:r>
        <w:tab/>
      </w:r>
      <w:r>
        <w:fldChar w:fldCharType="begin"/>
      </w:r>
      <w:r>
        <w:instrText xml:space="preserve"> PAGEREF _Toc20892 \h </w:instrText>
      </w:r>
      <w:r>
        <w:fldChar w:fldCharType="separate"/>
      </w:r>
      <w:r>
        <w:t>82</w:t>
      </w:r>
      <w:r>
        <w:fldChar w:fldCharType="end"/>
      </w:r>
      <w:r>
        <w:rPr>
          <w:i w:val="0"/>
          <w:iCs w:val="0"/>
          <w:color w:val="auto"/>
          <w:szCs w:val="21"/>
          <w:highlight w:val="none"/>
        </w:rPr>
        <w:fldChar w:fldCharType="end"/>
      </w:r>
    </w:p>
    <w:p w14:paraId="3666E282">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_Toc4810 </w:instrText>
      </w:r>
      <w:r>
        <w:rPr>
          <w:i w:val="0"/>
          <w:iCs w:val="0"/>
          <w:szCs w:val="21"/>
          <w:highlight w:val="none"/>
        </w:rPr>
        <w:fldChar w:fldCharType="separate"/>
      </w:r>
      <w:r>
        <w:rPr>
          <w:rFonts w:hint="default" w:ascii="Arial" w:hAnsi="Arial" w:cs="Arial"/>
          <w:i w:val="0"/>
          <w:iCs w:val="0"/>
          <w:szCs w:val="22"/>
        </w:rPr>
        <w:t xml:space="preserve">18.2.1 </w:t>
      </w:r>
      <w:r>
        <w:rPr>
          <w:rFonts w:hint="eastAsia"/>
          <w:i w:val="0"/>
          <w:iCs w:val="0"/>
          <w:szCs w:val="22"/>
          <w:highlight w:val="none"/>
        </w:rPr>
        <w:t>系统的可靠性</w:t>
      </w:r>
      <w:r>
        <w:tab/>
      </w:r>
      <w:r>
        <w:fldChar w:fldCharType="begin"/>
      </w:r>
      <w:r>
        <w:instrText xml:space="preserve"> PAGEREF _Toc4810 \h </w:instrText>
      </w:r>
      <w:r>
        <w:fldChar w:fldCharType="separate"/>
      </w:r>
      <w:r>
        <w:t>82</w:t>
      </w:r>
      <w:r>
        <w:fldChar w:fldCharType="end"/>
      </w:r>
      <w:r>
        <w:rPr>
          <w:i w:val="0"/>
          <w:iCs w:val="0"/>
          <w:color w:val="auto"/>
          <w:szCs w:val="21"/>
          <w:highlight w:val="none"/>
        </w:rPr>
        <w:fldChar w:fldCharType="end"/>
      </w:r>
    </w:p>
    <w:p w14:paraId="42A91992">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_Toc18932 </w:instrText>
      </w:r>
      <w:r>
        <w:rPr>
          <w:i w:val="0"/>
          <w:iCs w:val="0"/>
          <w:szCs w:val="21"/>
          <w:highlight w:val="none"/>
        </w:rPr>
        <w:fldChar w:fldCharType="separate"/>
      </w:r>
      <w:r>
        <w:rPr>
          <w:rFonts w:hint="default" w:ascii="Arial" w:hAnsi="Arial" w:cs="Arial"/>
          <w:i w:val="0"/>
          <w:iCs w:val="0"/>
          <w:szCs w:val="22"/>
        </w:rPr>
        <w:t xml:space="preserve">18.2.2 </w:t>
      </w:r>
      <w:r>
        <w:rPr>
          <w:rFonts w:hint="eastAsia"/>
          <w:i w:val="0"/>
          <w:iCs w:val="0"/>
          <w:szCs w:val="22"/>
          <w:highlight w:val="none"/>
        </w:rPr>
        <w:t>系统不易发生故障原则</w:t>
      </w:r>
      <w:r>
        <w:tab/>
      </w:r>
      <w:r>
        <w:fldChar w:fldCharType="begin"/>
      </w:r>
      <w:r>
        <w:instrText xml:space="preserve"> PAGEREF _Toc18932 \h </w:instrText>
      </w:r>
      <w:r>
        <w:fldChar w:fldCharType="separate"/>
      </w:r>
      <w:r>
        <w:t>82</w:t>
      </w:r>
      <w:r>
        <w:fldChar w:fldCharType="end"/>
      </w:r>
      <w:r>
        <w:rPr>
          <w:i w:val="0"/>
          <w:iCs w:val="0"/>
          <w:color w:val="auto"/>
          <w:szCs w:val="21"/>
          <w:highlight w:val="none"/>
        </w:rPr>
        <w:fldChar w:fldCharType="end"/>
      </w:r>
    </w:p>
    <w:p w14:paraId="4D34C366">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_Toc13830 </w:instrText>
      </w:r>
      <w:r>
        <w:rPr>
          <w:i w:val="0"/>
          <w:iCs w:val="0"/>
          <w:szCs w:val="21"/>
          <w:highlight w:val="none"/>
        </w:rPr>
        <w:fldChar w:fldCharType="separate"/>
      </w:r>
      <w:r>
        <w:rPr>
          <w:rFonts w:hint="default" w:ascii="Arial" w:hAnsi="Arial" w:cs="Arial"/>
          <w:i w:val="0"/>
          <w:iCs w:val="0"/>
          <w:szCs w:val="22"/>
        </w:rPr>
        <w:t xml:space="preserve">18.2.3 </w:t>
      </w:r>
      <w:r>
        <w:rPr>
          <w:rFonts w:hint="eastAsia"/>
          <w:i w:val="0"/>
          <w:iCs w:val="0"/>
          <w:szCs w:val="22"/>
          <w:highlight w:val="none"/>
        </w:rPr>
        <w:t>系统运行受故障影响最小原则</w:t>
      </w:r>
      <w:r>
        <w:tab/>
      </w:r>
      <w:r>
        <w:fldChar w:fldCharType="begin"/>
      </w:r>
      <w:r>
        <w:instrText xml:space="preserve"> PAGEREF _Toc13830 \h </w:instrText>
      </w:r>
      <w:r>
        <w:fldChar w:fldCharType="separate"/>
      </w:r>
      <w:r>
        <w:t>82</w:t>
      </w:r>
      <w:r>
        <w:fldChar w:fldCharType="end"/>
      </w:r>
      <w:r>
        <w:rPr>
          <w:i w:val="0"/>
          <w:iCs w:val="0"/>
          <w:color w:val="auto"/>
          <w:szCs w:val="21"/>
          <w:highlight w:val="none"/>
        </w:rPr>
        <w:fldChar w:fldCharType="end"/>
      </w:r>
    </w:p>
    <w:p w14:paraId="5427A38A">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_Toc30732 </w:instrText>
      </w:r>
      <w:r>
        <w:rPr>
          <w:i w:val="0"/>
          <w:iCs w:val="0"/>
          <w:szCs w:val="21"/>
          <w:highlight w:val="none"/>
        </w:rPr>
        <w:fldChar w:fldCharType="separate"/>
      </w:r>
      <w:r>
        <w:rPr>
          <w:rFonts w:hint="default" w:ascii="Arial" w:hAnsi="Arial" w:cs="Arial"/>
          <w:i w:val="0"/>
          <w:iCs w:val="0"/>
          <w:szCs w:val="22"/>
        </w:rPr>
        <w:t xml:space="preserve">18.2.4 </w:t>
      </w:r>
      <w:r>
        <w:rPr>
          <w:rFonts w:hint="eastAsia"/>
          <w:i w:val="0"/>
          <w:iCs w:val="0"/>
          <w:szCs w:val="22"/>
          <w:highlight w:val="none"/>
        </w:rPr>
        <w:t>迅速排除故障原则</w:t>
      </w:r>
      <w:r>
        <w:tab/>
      </w:r>
      <w:r>
        <w:fldChar w:fldCharType="begin"/>
      </w:r>
      <w:r>
        <w:instrText xml:space="preserve"> PAGEREF _Toc30732 \h </w:instrText>
      </w:r>
      <w:r>
        <w:fldChar w:fldCharType="separate"/>
      </w:r>
      <w:r>
        <w:t>83</w:t>
      </w:r>
      <w:r>
        <w:fldChar w:fldCharType="end"/>
      </w:r>
      <w:r>
        <w:rPr>
          <w:i w:val="0"/>
          <w:iCs w:val="0"/>
          <w:color w:val="auto"/>
          <w:szCs w:val="21"/>
          <w:highlight w:val="none"/>
        </w:rPr>
        <w:fldChar w:fldCharType="end"/>
      </w:r>
    </w:p>
    <w:p w14:paraId="4BB2F22E">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_Toc11899 </w:instrText>
      </w:r>
      <w:r>
        <w:rPr>
          <w:i w:val="0"/>
          <w:iCs w:val="0"/>
          <w:szCs w:val="21"/>
          <w:highlight w:val="none"/>
        </w:rPr>
        <w:fldChar w:fldCharType="separate"/>
      </w:r>
      <w:r>
        <w:rPr>
          <w:rFonts w:hint="default" w:ascii="Arial" w:hAnsi="Arial" w:cs="Arial"/>
          <w:i w:val="0"/>
          <w:iCs w:val="0"/>
          <w:szCs w:val="24"/>
        </w:rPr>
        <w:t xml:space="preserve">18.3 </w:t>
      </w:r>
      <w:r>
        <w:rPr>
          <w:rFonts w:hint="eastAsia"/>
          <w:i w:val="0"/>
          <w:iCs w:val="0"/>
          <w:szCs w:val="21"/>
          <w:highlight w:val="none"/>
        </w:rPr>
        <w:t>系统的可维修性要求</w:t>
      </w:r>
      <w:r>
        <w:tab/>
      </w:r>
      <w:r>
        <w:fldChar w:fldCharType="begin"/>
      </w:r>
      <w:r>
        <w:instrText xml:space="preserve"> PAGEREF _Toc11899 \h </w:instrText>
      </w:r>
      <w:r>
        <w:fldChar w:fldCharType="separate"/>
      </w:r>
      <w:r>
        <w:t>83</w:t>
      </w:r>
      <w:r>
        <w:fldChar w:fldCharType="end"/>
      </w:r>
      <w:r>
        <w:rPr>
          <w:i w:val="0"/>
          <w:iCs w:val="0"/>
          <w:color w:val="auto"/>
          <w:szCs w:val="21"/>
          <w:highlight w:val="none"/>
        </w:rPr>
        <w:fldChar w:fldCharType="end"/>
      </w:r>
    </w:p>
    <w:p w14:paraId="1C08CF57">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_Toc10263 </w:instrText>
      </w:r>
      <w:r>
        <w:rPr>
          <w:i w:val="0"/>
          <w:iCs w:val="0"/>
          <w:szCs w:val="21"/>
          <w:highlight w:val="none"/>
        </w:rPr>
        <w:fldChar w:fldCharType="separate"/>
      </w:r>
      <w:r>
        <w:rPr>
          <w:rFonts w:hint="default" w:ascii="Arial" w:hAnsi="Arial" w:cs="Arial"/>
          <w:i w:val="0"/>
          <w:iCs w:val="0"/>
          <w:szCs w:val="22"/>
        </w:rPr>
        <w:t xml:space="preserve">18.3.1 </w:t>
      </w:r>
      <w:r>
        <w:rPr>
          <w:rFonts w:hint="eastAsia"/>
          <w:i w:val="0"/>
          <w:iCs w:val="0"/>
          <w:szCs w:val="22"/>
          <w:highlight w:val="none"/>
        </w:rPr>
        <w:t>系统的固有维修性</w:t>
      </w:r>
      <w:r>
        <w:tab/>
      </w:r>
      <w:r>
        <w:fldChar w:fldCharType="begin"/>
      </w:r>
      <w:r>
        <w:instrText xml:space="preserve"> PAGEREF _Toc10263 \h </w:instrText>
      </w:r>
      <w:r>
        <w:fldChar w:fldCharType="separate"/>
      </w:r>
      <w:r>
        <w:t>83</w:t>
      </w:r>
      <w:r>
        <w:fldChar w:fldCharType="end"/>
      </w:r>
      <w:r>
        <w:rPr>
          <w:i w:val="0"/>
          <w:iCs w:val="0"/>
          <w:color w:val="auto"/>
          <w:szCs w:val="21"/>
          <w:highlight w:val="none"/>
        </w:rPr>
        <w:fldChar w:fldCharType="end"/>
      </w:r>
    </w:p>
    <w:p w14:paraId="668B86EC">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_Toc27956 </w:instrText>
      </w:r>
      <w:r>
        <w:rPr>
          <w:i w:val="0"/>
          <w:iCs w:val="0"/>
          <w:szCs w:val="21"/>
          <w:highlight w:val="none"/>
        </w:rPr>
        <w:fldChar w:fldCharType="separate"/>
      </w:r>
      <w:r>
        <w:rPr>
          <w:rFonts w:hint="default" w:ascii="Arial" w:hAnsi="Arial" w:cs="Arial"/>
          <w:i w:val="0"/>
          <w:iCs w:val="0"/>
          <w:szCs w:val="22"/>
        </w:rPr>
        <w:t xml:space="preserve">18.3.2 </w:t>
      </w:r>
      <w:r>
        <w:rPr>
          <w:rFonts w:hint="eastAsia"/>
          <w:i w:val="0"/>
          <w:iCs w:val="0"/>
          <w:szCs w:val="22"/>
          <w:highlight w:val="none"/>
        </w:rPr>
        <w:t>系统设备是否将要停产</w:t>
      </w:r>
      <w:r>
        <w:tab/>
      </w:r>
      <w:r>
        <w:fldChar w:fldCharType="begin"/>
      </w:r>
      <w:r>
        <w:instrText xml:space="preserve"> PAGEREF _Toc27956 \h </w:instrText>
      </w:r>
      <w:r>
        <w:fldChar w:fldCharType="separate"/>
      </w:r>
      <w:r>
        <w:t>83</w:t>
      </w:r>
      <w:r>
        <w:fldChar w:fldCharType="end"/>
      </w:r>
      <w:r>
        <w:rPr>
          <w:i w:val="0"/>
          <w:iCs w:val="0"/>
          <w:color w:val="auto"/>
          <w:szCs w:val="21"/>
          <w:highlight w:val="none"/>
        </w:rPr>
        <w:fldChar w:fldCharType="end"/>
      </w:r>
    </w:p>
    <w:p w14:paraId="6E79F869">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_Toc11771 </w:instrText>
      </w:r>
      <w:r>
        <w:rPr>
          <w:i w:val="0"/>
          <w:iCs w:val="0"/>
          <w:szCs w:val="21"/>
          <w:highlight w:val="none"/>
        </w:rPr>
        <w:fldChar w:fldCharType="separate"/>
      </w:r>
      <w:r>
        <w:rPr>
          <w:rFonts w:hint="default" w:ascii="Arial" w:hAnsi="Arial" w:cs="Arial"/>
          <w:i w:val="0"/>
          <w:iCs w:val="0"/>
          <w:szCs w:val="22"/>
        </w:rPr>
        <w:t xml:space="preserve">18.3.3 </w:t>
      </w:r>
      <w:r>
        <w:rPr>
          <w:rFonts w:hint="eastAsia"/>
          <w:i w:val="0"/>
          <w:iCs w:val="0"/>
          <w:szCs w:val="22"/>
          <w:highlight w:val="none"/>
        </w:rPr>
        <w:t>维修的经济性</w:t>
      </w:r>
      <w:r>
        <w:tab/>
      </w:r>
      <w:r>
        <w:fldChar w:fldCharType="begin"/>
      </w:r>
      <w:r>
        <w:instrText xml:space="preserve"> PAGEREF _Toc11771 \h </w:instrText>
      </w:r>
      <w:r>
        <w:fldChar w:fldCharType="separate"/>
      </w:r>
      <w:r>
        <w:t>83</w:t>
      </w:r>
      <w:r>
        <w:fldChar w:fldCharType="end"/>
      </w:r>
      <w:r>
        <w:rPr>
          <w:i w:val="0"/>
          <w:iCs w:val="0"/>
          <w:color w:val="auto"/>
          <w:szCs w:val="21"/>
          <w:highlight w:val="none"/>
        </w:rPr>
        <w:fldChar w:fldCharType="end"/>
      </w:r>
    </w:p>
    <w:p w14:paraId="7F624828">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_Toc2429 </w:instrText>
      </w:r>
      <w:r>
        <w:rPr>
          <w:i w:val="0"/>
          <w:iCs w:val="0"/>
          <w:szCs w:val="21"/>
          <w:highlight w:val="none"/>
        </w:rPr>
        <w:fldChar w:fldCharType="separate"/>
      </w:r>
      <w:r>
        <w:rPr>
          <w:rFonts w:hint="default" w:ascii="Arial" w:hAnsi="Arial" w:cs="Arial"/>
          <w:i w:val="0"/>
          <w:iCs w:val="0"/>
          <w:szCs w:val="22"/>
        </w:rPr>
        <w:t xml:space="preserve">18.3.4 </w:t>
      </w:r>
      <w:r>
        <w:rPr>
          <w:rFonts w:hint="eastAsia"/>
          <w:i w:val="0"/>
          <w:iCs w:val="0"/>
          <w:szCs w:val="22"/>
          <w:highlight w:val="none"/>
        </w:rPr>
        <w:t>维修资源的获取方便程度</w:t>
      </w:r>
      <w:r>
        <w:tab/>
      </w:r>
      <w:r>
        <w:fldChar w:fldCharType="begin"/>
      </w:r>
      <w:r>
        <w:instrText xml:space="preserve"> PAGEREF _Toc2429 \h </w:instrText>
      </w:r>
      <w:r>
        <w:fldChar w:fldCharType="separate"/>
      </w:r>
      <w:r>
        <w:t>83</w:t>
      </w:r>
      <w:r>
        <w:fldChar w:fldCharType="end"/>
      </w:r>
      <w:r>
        <w:rPr>
          <w:i w:val="0"/>
          <w:iCs w:val="0"/>
          <w:color w:val="auto"/>
          <w:szCs w:val="21"/>
          <w:highlight w:val="none"/>
        </w:rPr>
        <w:fldChar w:fldCharType="end"/>
      </w:r>
    </w:p>
    <w:p w14:paraId="23FD0E00">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_Toc29412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19. </w:t>
      </w:r>
      <w:r>
        <w:rPr>
          <w:rFonts w:hint="eastAsia"/>
          <w:i w:val="0"/>
          <w:iCs w:val="0"/>
          <w:szCs w:val="32"/>
          <w:highlight w:val="none"/>
        </w:rPr>
        <w:t>材料与工艺技术要求</w:t>
      </w:r>
      <w:r>
        <w:tab/>
      </w:r>
      <w:r>
        <w:fldChar w:fldCharType="begin"/>
      </w:r>
      <w:r>
        <w:instrText xml:space="preserve"> PAGEREF _Toc29412 \h </w:instrText>
      </w:r>
      <w:r>
        <w:fldChar w:fldCharType="separate"/>
      </w:r>
      <w:r>
        <w:t>84</w:t>
      </w:r>
      <w:r>
        <w:fldChar w:fldCharType="end"/>
      </w:r>
      <w:r>
        <w:rPr>
          <w:i w:val="0"/>
          <w:iCs w:val="0"/>
          <w:color w:val="auto"/>
          <w:szCs w:val="21"/>
          <w:highlight w:val="none"/>
        </w:rPr>
        <w:fldChar w:fldCharType="end"/>
      </w:r>
    </w:p>
    <w:p w14:paraId="51F3FB28">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_Toc667 </w:instrText>
      </w:r>
      <w:r>
        <w:rPr>
          <w:i w:val="0"/>
          <w:iCs w:val="0"/>
          <w:szCs w:val="21"/>
          <w:highlight w:val="none"/>
        </w:rPr>
        <w:fldChar w:fldCharType="separate"/>
      </w:r>
      <w:r>
        <w:rPr>
          <w:rFonts w:hint="default" w:ascii="Arial" w:hAnsi="Arial" w:cs="Arial"/>
          <w:i w:val="0"/>
          <w:iCs w:val="0"/>
          <w:szCs w:val="24"/>
        </w:rPr>
        <w:t xml:space="preserve">19.1 </w:t>
      </w:r>
      <w:r>
        <w:rPr>
          <w:rFonts w:hint="eastAsia"/>
          <w:i w:val="0"/>
          <w:iCs w:val="0"/>
          <w:szCs w:val="21"/>
          <w:highlight w:val="none"/>
        </w:rPr>
        <w:t>总则</w:t>
      </w:r>
      <w:r>
        <w:tab/>
      </w:r>
      <w:r>
        <w:fldChar w:fldCharType="begin"/>
      </w:r>
      <w:r>
        <w:instrText xml:space="preserve"> PAGEREF _Toc667 \h </w:instrText>
      </w:r>
      <w:r>
        <w:fldChar w:fldCharType="separate"/>
      </w:r>
      <w:r>
        <w:t>84</w:t>
      </w:r>
      <w:r>
        <w:fldChar w:fldCharType="end"/>
      </w:r>
      <w:r>
        <w:rPr>
          <w:i w:val="0"/>
          <w:iCs w:val="0"/>
          <w:color w:val="auto"/>
          <w:szCs w:val="21"/>
          <w:highlight w:val="none"/>
        </w:rPr>
        <w:fldChar w:fldCharType="end"/>
      </w:r>
    </w:p>
    <w:p w14:paraId="03B2C829">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_Toc28834 </w:instrText>
      </w:r>
      <w:r>
        <w:rPr>
          <w:i w:val="0"/>
          <w:iCs w:val="0"/>
          <w:szCs w:val="21"/>
          <w:highlight w:val="none"/>
        </w:rPr>
        <w:fldChar w:fldCharType="separate"/>
      </w:r>
      <w:r>
        <w:rPr>
          <w:rFonts w:hint="default" w:ascii="Arial" w:hAnsi="Arial" w:cs="Arial"/>
          <w:i w:val="0"/>
          <w:iCs w:val="0"/>
          <w:szCs w:val="24"/>
        </w:rPr>
        <w:t xml:space="preserve">19.2 </w:t>
      </w:r>
      <w:r>
        <w:rPr>
          <w:rFonts w:hint="eastAsia"/>
          <w:i w:val="0"/>
          <w:iCs w:val="0"/>
          <w:szCs w:val="21"/>
          <w:highlight w:val="none"/>
        </w:rPr>
        <w:t>电气设备</w:t>
      </w:r>
      <w:r>
        <w:tab/>
      </w:r>
      <w:r>
        <w:fldChar w:fldCharType="begin"/>
      </w:r>
      <w:r>
        <w:instrText xml:space="preserve"> PAGEREF _Toc28834 \h </w:instrText>
      </w:r>
      <w:r>
        <w:fldChar w:fldCharType="separate"/>
      </w:r>
      <w:r>
        <w:t>85</w:t>
      </w:r>
      <w:r>
        <w:fldChar w:fldCharType="end"/>
      </w:r>
      <w:r>
        <w:rPr>
          <w:i w:val="0"/>
          <w:iCs w:val="0"/>
          <w:color w:val="auto"/>
          <w:szCs w:val="21"/>
          <w:highlight w:val="none"/>
        </w:rPr>
        <w:fldChar w:fldCharType="end"/>
      </w:r>
    </w:p>
    <w:p w14:paraId="77EC8CD9">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_Toc3124 </w:instrText>
      </w:r>
      <w:r>
        <w:rPr>
          <w:i w:val="0"/>
          <w:iCs w:val="0"/>
          <w:szCs w:val="21"/>
          <w:highlight w:val="none"/>
        </w:rPr>
        <w:fldChar w:fldCharType="separate"/>
      </w:r>
      <w:r>
        <w:rPr>
          <w:rFonts w:hint="default" w:ascii="Arial" w:hAnsi="Arial" w:cs="Arial"/>
          <w:i w:val="0"/>
          <w:iCs w:val="0"/>
          <w:szCs w:val="24"/>
        </w:rPr>
        <w:t xml:space="preserve">19.3 </w:t>
      </w:r>
      <w:r>
        <w:rPr>
          <w:rFonts w:hint="eastAsia"/>
          <w:i w:val="0"/>
          <w:iCs w:val="0"/>
          <w:szCs w:val="21"/>
          <w:highlight w:val="none"/>
        </w:rPr>
        <w:t>机柜和机箱技术要求</w:t>
      </w:r>
      <w:r>
        <w:tab/>
      </w:r>
      <w:r>
        <w:fldChar w:fldCharType="begin"/>
      </w:r>
      <w:r>
        <w:instrText xml:space="preserve"> PAGEREF _Toc3124 \h </w:instrText>
      </w:r>
      <w:r>
        <w:fldChar w:fldCharType="separate"/>
      </w:r>
      <w:r>
        <w:t>85</w:t>
      </w:r>
      <w:r>
        <w:fldChar w:fldCharType="end"/>
      </w:r>
      <w:r>
        <w:rPr>
          <w:i w:val="0"/>
          <w:iCs w:val="0"/>
          <w:color w:val="auto"/>
          <w:szCs w:val="21"/>
          <w:highlight w:val="none"/>
        </w:rPr>
        <w:fldChar w:fldCharType="end"/>
      </w:r>
    </w:p>
    <w:p w14:paraId="2F75F685">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_Toc4345 </w:instrText>
      </w:r>
      <w:r>
        <w:rPr>
          <w:i w:val="0"/>
          <w:iCs w:val="0"/>
          <w:szCs w:val="21"/>
          <w:highlight w:val="none"/>
        </w:rPr>
        <w:fldChar w:fldCharType="separate"/>
      </w:r>
      <w:r>
        <w:rPr>
          <w:rFonts w:hint="default" w:ascii="Arial" w:hAnsi="Arial" w:cs="Arial"/>
          <w:i w:val="0"/>
          <w:iCs w:val="0"/>
          <w:szCs w:val="24"/>
        </w:rPr>
        <w:t xml:space="preserve">19.4 </w:t>
      </w:r>
      <w:r>
        <w:rPr>
          <w:rFonts w:hint="eastAsia"/>
          <w:i w:val="0"/>
          <w:iCs w:val="0"/>
          <w:szCs w:val="21"/>
          <w:highlight w:val="none"/>
        </w:rPr>
        <w:t>封闭槽式电缆桥架技术要求</w:t>
      </w:r>
      <w:r>
        <w:tab/>
      </w:r>
      <w:r>
        <w:fldChar w:fldCharType="begin"/>
      </w:r>
      <w:r>
        <w:instrText xml:space="preserve"> PAGEREF _Toc4345 \h </w:instrText>
      </w:r>
      <w:r>
        <w:fldChar w:fldCharType="separate"/>
      </w:r>
      <w:r>
        <w:t>86</w:t>
      </w:r>
      <w:r>
        <w:fldChar w:fldCharType="end"/>
      </w:r>
      <w:r>
        <w:rPr>
          <w:i w:val="0"/>
          <w:iCs w:val="0"/>
          <w:color w:val="auto"/>
          <w:szCs w:val="21"/>
          <w:highlight w:val="none"/>
        </w:rPr>
        <w:fldChar w:fldCharType="end"/>
      </w:r>
    </w:p>
    <w:p w14:paraId="52E19280">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_Toc8942 </w:instrText>
      </w:r>
      <w:r>
        <w:rPr>
          <w:i w:val="0"/>
          <w:iCs w:val="0"/>
          <w:szCs w:val="21"/>
          <w:highlight w:val="none"/>
        </w:rPr>
        <w:fldChar w:fldCharType="separate"/>
      </w:r>
      <w:r>
        <w:rPr>
          <w:rFonts w:hint="default" w:ascii="Arial" w:hAnsi="Arial" w:cs="Arial"/>
          <w:i w:val="0"/>
          <w:iCs w:val="0"/>
          <w:szCs w:val="24"/>
        </w:rPr>
        <w:t xml:space="preserve">19.5 </w:t>
      </w:r>
      <w:r>
        <w:rPr>
          <w:rFonts w:hint="eastAsia"/>
          <w:i w:val="0"/>
          <w:iCs w:val="0"/>
          <w:szCs w:val="21"/>
          <w:highlight w:val="none"/>
        </w:rPr>
        <w:t>电线钢管技术要求</w:t>
      </w:r>
      <w:r>
        <w:tab/>
      </w:r>
      <w:r>
        <w:fldChar w:fldCharType="begin"/>
      </w:r>
      <w:r>
        <w:instrText xml:space="preserve"> PAGEREF _Toc8942 \h </w:instrText>
      </w:r>
      <w:r>
        <w:fldChar w:fldCharType="separate"/>
      </w:r>
      <w:r>
        <w:t>87</w:t>
      </w:r>
      <w:r>
        <w:fldChar w:fldCharType="end"/>
      </w:r>
      <w:r>
        <w:rPr>
          <w:i w:val="0"/>
          <w:iCs w:val="0"/>
          <w:color w:val="auto"/>
          <w:szCs w:val="21"/>
          <w:highlight w:val="none"/>
        </w:rPr>
        <w:fldChar w:fldCharType="end"/>
      </w:r>
    </w:p>
    <w:p w14:paraId="6A87D7B0">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_Toc22583 </w:instrText>
      </w:r>
      <w:r>
        <w:rPr>
          <w:i w:val="0"/>
          <w:iCs w:val="0"/>
          <w:szCs w:val="21"/>
          <w:highlight w:val="none"/>
        </w:rPr>
        <w:fldChar w:fldCharType="separate"/>
      </w:r>
      <w:r>
        <w:rPr>
          <w:rFonts w:hint="default" w:ascii="Arial" w:hAnsi="Arial" w:cs="Arial"/>
          <w:i w:val="0"/>
          <w:iCs w:val="0"/>
          <w:szCs w:val="24"/>
        </w:rPr>
        <w:t xml:space="preserve">19.6 </w:t>
      </w:r>
      <w:r>
        <w:rPr>
          <w:rFonts w:hint="eastAsia"/>
          <w:i w:val="0"/>
          <w:iCs w:val="0"/>
          <w:szCs w:val="21"/>
          <w:highlight w:val="none"/>
        </w:rPr>
        <w:t>金属软管技术要求</w:t>
      </w:r>
      <w:r>
        <w:tab/>
      </w:r>
      <w:r>
        <w:fldChar w:fldCharType="begin"/>
      </w:r>
      <w:r>
        <w:instrText xml:space="preserve"> PAGEREF _Toc22583 \h </w:instrText>
      </w:r>
      <w:r>
        <w:fldChar w:fldCharType="separate"/>
      </w:r>
      <w:r>
        <w:t>87</w:t>
      </w:r>
      <w:r>
        <w:fldChar w:fldCharType="end"/>
      </w:r>
      <w:r>
        <w:rPr>
          <w:i w:val="0"/>
          <w:iCs w:val="0"/>
          <w:color w:val="auto"/>
          <w:szCs w:val="21"/>
          <w:highlight w:val="none"/>
        </w:rPr>
        <w:fldChar w:fldCharType="end"/>
      </w:r>
    </w:p>
    <w:p w14:paraId="63B6B4EB">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_Toc21263 </w:instrText>
      </w:r>
      <w:r>
        <w:rPr>
          <w:i w:val="0"/>
          <w:iCs w:val="0"/>
          <w:szCs w:val="21"/>
          <w:highlight w:val="none"/>
        </w:rPr>
        <w:fldChar w:fldCharType="separate"/>
      </w:r>
      <w:r>
        <w:rPr>
          <w:rFonts w:hint="default" w:ascii="Arial" w:hAnsi="Arial" w:cs="Arial"/>
          <w:i w:val="0"/>
          <w:iCs w:val="0"/>
          <w:szCs w:val="24"/>
        </w:rPr>
        <w:t xml:space="preserve">19.7 </w:t>
      </w:r>
      <w:r>
        <w:rPr>
          <w:rFonts w:hint="eastAsia"/>
          <w:i w:val="0"/>
          <w:iCs w:val="0"/>
          <w:szCs w:val="21"/>
          <w:highlight w:val="none"/>
        </w:rPr>
        <w:t>电缆（电线）和光缆技术要求</w:t>
      </w:r>
      <w:r>
        <w:tab/>
      </w:r>
      <w:r>
        <w:fldChar w:fldCharType="begin"/>
      </w:r>
      <w:r>
        <w:instrText xml:space="preserve"> PAGEREF _Toc21263 \h </w:instrText>
      </w:r>
      <w:r>
        <w:fldChar w:fldCharType="separate"/>
      </w:r>
      <w:r>
        <w:t>88</w:t>
      </w:r>
      <w:r>
        <w:fldChar w:fldCharType="end"/>
      </w:r>
      <w:r>
        <w:rPr>
          <w:i w:val="0"/>
          <w:iCs w:val="0"/>
          <w:color w:val="auto"/>
          <w:szCs w:val="21"/>
          <w:highlight w:val="none"/>
        </w:rPr>
        <w:fldChar w:fldCharType="end"/>
      </w:r>
    </w:p>
    <w:p w14:paraId="708C1DCC">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_Toc15836 </w:instrText>
      </w:r>
      <w:r>
        <w:rPr>
          <w:i w:val="0"/>
          <w:iCs w:val="0"/>
          <w:szCs w:val="21"/>
          <w:highlight w:val="none"/>
        </w:rPr>
        <w:fldChar w:fldCharType="separate"/>
      </w:r>
      <w:r>
        <w:rPr>
          <w:rFonts w:hint="default" w:ascii="Arial" w:hAnsi="Arial" w:cs="Arial"/>
          <w:i w:val="0"/>
          <w:iCs w:val="0"/>
          <w:szCs w:val="24"/>
        </w:rPr>
        <w:t xml:space="preserve">19.8 </w:t>
      </w:r>
      <w:r>
        <w:rPr>
          <w:rFonts w:hint="eastAsia"/>
          <w:i w:val="0"/>
          <w:iCs w:val="0"/>
          <w:szCs w:val="21"/>
          <w:highlight w:val="none"/>
        </w:rPr>
        <w:t>标示牌和标签</w:t>
      </w:r>
      <w:r>
        <w:tab/>
      </w:r>
      <w:r>
        <w:fldChar w:fldCharType="begin"/>
      </w:r>
      <w:r>
        <w:instrText xml:space="preserve"> PAGEREF _Toc15836 \h </w:instrText>
      </w:r>
      <w:r>
        <w:fldChar w:fldCharType="separate"/>
      </w:r>
      <w:r>
        <w:t>88</w:t>
      </w:r>
      <w:r>
        <w:fldChar w:fldCharType="end"/>
      </w:r>
      <w:r>
        <w:rPr>
          <w:i w:val="0"/>
          <w:iCs w:val="0"/>
          <w:color w:val="auto"/>
          <w:szCs w:val="21"/>
          <w:highlight w:val="none"/>
        </w:rPr>
        <w:fldChar w:fldCharType="end"/>
      </w:r>
    </w:p>
    <w:p w14:paraId="72685B74">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_Toc10538 </w:instrText>
      </w:r>
      <w:r>
        <w:rPr>
          <w:i w:val="0"/>
          <w:iCs w:val="0"/>
          <w:szCs w:val="21"/>
          <w:highlight w:val="none"/>
        </w:rPr>
        <w:fldChar w:fldCharType="separate"/>
      </w:r>
      <w:r>
        <w:rPr>
          <w:rFonts w:hint="default" w:ascii="Arial" w:hAnsi="Arial" w:cs="Arial"/>
          <w:i w:val="0"/>
          <w:iCs w:val="0"/>
          <w:szCs w:val="22"/>
        </w:rPr>
        <w:t xml:space="preserve">19.8.1 </w:t>
      </w:r>
      <w:r>
        <w:rPr>
          <w:rFonts w:hint="eastAsia"/>
          <w:i w:val="0"/>
          <w:iCs w:val="0"/>
          <w:szCs w:val="22"/>
          <w:highlight w:val="none"/>
        </w:rPr>
        <w:t>标示牌</w:t>
      </w:r>
      <w:r>
        <w:tab/>
      </w:r>
      <w:r>
        <w:fldChar w:fldCharType="begin"/>
      </w:r>
      <w:r>
        <w:instrText xml:space="preserve"> PAGEREF _Toc10538 \h </w:instrText>
      </w:r>
      <w:r>
        <w:fldChar w:fldCharType="separate"/>
      </w:r>
      <w:r>
        <w:t>88</w:t>
      </w:r>
      <w:r>
        <w:fldChar w:fldCharType="end"/>
      </w:r>
      <w:r>
        <w:rPr>
          <w:i w:val="0"/>
          <w:iCs w:val="0"/>
          <w:color w:val="auto"/>
          <w:szCs w:val="21"/>
          <w:highlight w:val="none"/>
        </w:rPr>
        <w:fldChar w:fldCharType="end"/>
      </w:r>
    </w:p>
    <w:p w14:paraId="60C70012">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_Toc27409 </w:instrText>
      </w:r>
      <w:r>
        <w:rPr>
          <w:i w:val="0"/>
          <w:iCs w:val="0"/>
          <w:szCs w:val="21"/>
          <w:highlight w:val="none"/>
        </w:rPr>
        <w:fldChar w:fldCharType="separate"/>
      </w:r>
      <w:r>
        <w:rPr>
          <w:rFonts w:hint="default" w:ascii="Arial" w:hAnsi="Arial" w:cs="Arial"/>
          <w:i w:val="0"/>
          <w:iCs w:val="0"/>
          <w:szCs w:val="22"/>
        </w:rPr>
        <w:t xml:space="preserve">19.8.2 </w:t>
      </w:r>
      <w:r>
        <w:rPr>
          <w:rFonts w:hint="eastAsia"/>
          <w:i w:val="0"/>
          <w:iCs w:val="0"/>
          <w:szCs w:val="22"/>
          <w:highlight w:val="none"/>
        </w:rPr>
        <w:t>标签</w:t>
      </w:r>
      <w:r>
        <w:tab/>
      </w:r>
      <w:r>
        <w:fldChar w:fldCharType="begin"/>
      </w:r>
      <w:r>
        <w:instrText xml:space="preserve"> PAGEREF _Toc27409 \h </w:instrText>
      </w:r>
      <w:r>
        <w:fldChar w:fldCharType="separate"/>
      </w:r>
      <w:r>
        <w:t>88</w:t>
      </w:r>
      <w:r>
        <w:fldChar w:fldCharType="end"/>
      </w:r>
      <w:r>
        <w:rPr>
          <w:i w:val="0"/>
          <w:iCs w:val="0"/>
          <w:color w:val="auto"/>
          <w:szCs w:val="21"/>
          <w:highlight w:val="none"/>
        </w:rPr>
        <w:fldChar w:fldCharType="end"/>
      </w:r>
    </w:p>
    <w:p w14:paraId="6989EBFB">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_Toc17687 </w:instrText>
      </w:r>
      <w:r>
        <w:rPr>
          <w:i w:val="0"/>
          <w:iCs w:val="0"/>
          <w:szCs w:val="21"/>
          <w:highlight w:val="none"/>
        </w:rPr>
        <w:fldChar w:fldCharType="separate"/>
      </w:r>
      <w:r>
        <w:rPr>
          <w:rFonts w:hint="default" w:ascii="Arial" w:hAnsi="Arial" w:cs="Arial"/>
          <w:i w:val="0"/>
          <w:iCs w:val="0"/>
          <w:szCs w:val="24"/>
        </w:rPr>
        <w:t xml:space="preserve">19.9 </w:t>
      </w:r>
      <w:r>
        <w:rPr>
          <w:rFonts w:hint="eastAsia"/>
          <w:i w:val="0"/>
          <w:iCs w:val="0"/>
          <w:szCs w:val="21"/>
          <w:highlight w:val="none"/>
        </w:rPr>
        <w:t>材料和辅助配件</w:t>
      </w:r>
      <w:r>
        <w:tab/>
      </w:r>
      <w:r>
        <w:fldChar w:fldCharType="begin"/>
      </w:r>
      <w:r>
        <w:instrText xml:space="preserve"> PAGEREF _Toc17687 \h </w:instrText>
      </w:r>
      <w:r>
        <w:fldChar w:fldCharType="separate"/>
      </w:r>
      <w:r>
        <w:t>89</w:t>
      </w:r>
      <w:r>
        <w:fldChar w:fldCharType="end"/>
      </w:r>
      <w:r>
        <w:rPr>
          <w:i w:val="0"/>
          <w:iCs w:val="0"/>
          <w:color w:val="auto"/>
          <w:szCs w:val="21"/>
          <w:highlight w:val="none"/>
        </w:rPr>
        <w:fldChar w:fldCharType="end"/>
      </w:r>
    </w:p>
    <w:p w14:paraId="144880A6">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_Toc5695 </w:instrText>
      </w:r>
      <w:r>
        <w:rPr>
          <w:i w:val="0"/>
          <w:iCs w:val="0"/>
          <w:szCs w:val="21"/>
          <w:highlight w:val="none"/>
        </w:rPr>
        <w:fldChar w:fldCharType="separate"/>
      </w:r>
      <w:r>
        <w:rPr>
          <w:rFonts w:hint="default" w:ascii="Arial" w:hAnsi="Arial" w:cs="Arial"/>
          <w:i w:val="0"/>
          <w:iCs w:val="0"/>
          <w:szCs w:val="24"/>
        </w:rPr>
        <w:t xml:space="preserve">19.10 </w:t>
      </w:r>
      <w:r>
        <w:rPr>
          <w:rFonts w:hint="eastAsia"/>
          <w:i w:val="0"/>
          <w:iCs w:val="0"/>
          <w:szCs w:val="21"/>
          <w:highlight w:val="none"/>
        </w:rPr>
        <w:t>线缆测试</w:t>
      </w:r>
      <w:r>
        <w:tab/>
      </w:r>
      <w:r>
        <w:fldChar w:fldCharType="begin"/>
      </w:r>
      <w:r>
        <w:instrText xml:space="preserve"> PAGEREF _Toc5695 \h </w:instrText>
      </w:r>
      <w:r>
        <w:fldChar w:fldCharType="separate"/>
      </w:r>
      <w:r>
        <w:t>89</w:t>
      </w:r>
      <w:r>
        <w:fldChar w:fldCharType="end"/>
      </w:r>
      <w:r>
        <w:rPr>
          <w:i w:val="0"/>
          <w:iCs w:val="0"/>
          <w:color w:val="auto"/>
          <w:szCs w:val="21"/>
          <w:highlight w:val="none"/>
        </w:rPr>
        <w:fldChar w:fldCharType="end"/>
      </w:r>
    </w:p>
    <w:p w14:paraId="1BFF848A">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_Toc2507 </w:instrText>
      </w:r>
      <w:r>
        <w:rPr>
          <w:i w:val="0"/>
          <w:iCs w:val="0"/>
          <w:szCs w:val="21"/>
          <w:highlight w:val="none"/>
        </w:rPr>
        <w:fldChar w:fldCharType="separate"/>
      </w:r>
      <w:r>
        <w:rPr>
          <w:rFonts w:hint="default" w:ascii="Arial" w:hAnsi="Arial" w:cs="Arial"/>
          <w:i w:val="0"/>
          <w:iCs w:val="0"/>
          <w:szCs w:val="24"/>
        </w:rPr>
        <w:t xml:space="preserve">19.11 </w:t>
      </w:r>
      <w:r>
        <w:rPr>
          <w:rFonts w:hint="eastAsia"/>
          <w:i w:val="0"/>
          <w:iCs w:val="0"/>
          <w:szCs w:val="21"/>
          <w:highlight w:val="none"/>
        </w:rPr>
        <w:t>焊接与钎焊</w:t>
      </w:r>
      <w:r>
        <w:tab/>
      </w:r>
      <w:r>
        <w:fldChar w:fldCharType="begin"/>
      </w:r>
      <w:r>
        <w:instrText xml:space="preserve"> PAGEREF _Toc2507 \h </w:instrText>
      </w:r>
      <w:r>
        <w:fldChar w:fldCharType="separate"/>
      </w:r>
      <w:r>
        <w:t>90</w:t>
      </w:r>
      <w:r>
        <w:fldChar w:fldCharType="end"/>
      </w:r>
      <w:r>
        <w:rPr>
          <w:i w:val="0"/>
          <w:iCs w:val="0"/>
          <w:color w:val="auto"/>
          <w:szCs w:val="21"/>
          <w:highlight w:val="none"/>
        </w:rPr>
        <w:fldChar w:fldCharType="end"/>
      </w:r>
    </w:p>
    <w:p w14:paraId="70C9B3A3">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_Toc11277 </w:instrText>
      </w:r>
      <w:r>
        <w:rPr>
          <w:i w:val="0"/>
          <w:iCs w:val="0"/>
          <w:szCs w:val="21"/>
          <w:highlight w:val="none"/>
        </w:rPr>
        <w:fldChar w:fldCharType="separate"/>
      </w:r>
      <w:r>
        <w:rPr>
          <w:rFonts w:hint="default" w:ascii="Arial" w:hAnsi="Arial" w:cs="Arial"/>
          <w:i w:val="0"/>
          <w:iCs w:val="0"/>
          <w:szCs w:val="24"/>
        </w:rPr>
        <w:t xml:space="preserve">19.12 </w:t>
      </w:r>
      <w:r>
        <w:rPr>
          <w:rFonts w:hint="eastAsia"/>
          <w:i w:val="0"/>
          <w:iCs w:val="0"/>
          <w:szCs w:val="21"/>
          <w:highlight w:val="none"/>
        </w:rPr>
        <w:t>孔洞及封堵</w:t>
      </w:r>
      <w:r>
        <w:tab/>
      </w:r>
      <w:r>
        <w:fldChar w:fldCharType="begin"/>
      </w:r>
      <w:r>
        <w:instrText xml:space="preserve"> PAGEREF _Toc11277 \h </w:instrText>
      </w:r>
      <w:r>
        <w:fldChar w:fldCharType="separate"/>
      </w:r>
      <w:r>
        <w:t>90</w:t>
      </w:r>
      <w:r>
        <w:fldChar w:fldCharType="end"/>
      </w:r>
      <w:r>
        <w:rPr>
          <w:i w:val="0"/>
          <w:iCs w:val="0"/>
          <w:color w:val="auto"/>
          <w:szCs w:val="21"/>
          <w:highlight w:val="none"/>
        </w:rPr>
        <w:fldChar w:fldCharType="end"/>
      </w:r>
    </w:p>
    <w:p w14:paraId="04F07ED1">
      <w:pPr>
        <w:pStyle w:val="74"/>
        <w:tabs>
          <w:tab w:val="right" w:leader="dot" w:pos="8743"/>
        </w:tabs>
      </w:pPr>
      <w:r>
        <w:rPr>
          <w:i w:val="0"/>
          <w:iCs w:val="0"/>
          <w:color w:val="auto"/>
          <w:szCs w:val="21"/>
          <w:highlight w:val="none"/>
        </w:rPr>
        <w:fldChar w:fldCharType="begin"/>
      </w:r>
      <w:r>
        <w:rPr>
          <w:i w:val="0"/>
          <w:iCs w:val="0"/>
          <w:szCs w:val="21"/>
          <w:highlight w:val="none"/>
        </w:rPr>
        <w:instrText xml:space="preserve"> HYPERLINK \l _Toc30920 </w:instrText>
      </w:r>
      <w:r>
        <w:rPr>
          <w:i w:val="0"/>
          <w:iCs w:val="0"/>
          <w:szCs w:val="21"/>
          <w:highlight w:val="none"/>
        </w:rPr>
        <w:fldChar w:fldCharType="separate"/>
      </w:r>
      <w:r>
        <w:rPr>
          <w:rFonts w:hint="default" w:ascii="Arial" w:hAnsi="Arial" w:cs="Arial"/>
          <w:i w:val="0"/>
          <w:iCs w:val="0"/>
          <w:szCs w:val="24"/>
        </w:rPr>
        <w:t xml:space="preserve">19.13 </w:t>
      </w:r>
      <w:r>
        <w:rPr>
          <w:rFonts w:hint="eastAsia"/>
          <w:i w:val="0"/>
          <w:iCs w:val="0"/>
          <w:szCs w:val="21"/>
          <w:highlight w:val="none"/>
        </w:rPr>
        <w:t>工程施工及调试验收</w:t>
      </w:r>
      <w:r>
        <w:tab/>
      </w:r>
      <w:r>
        <w:fldChar w:fldCharType="begin"/>
      </w:r>
      <w:r>
        <w:instrText xml:space="preserve"> PAGEREF _Toc30920 \h </w:instrText>
      </w:r>
      <w:r>
        <w:fldChar w:fldCharType="separate"/>
      </w:r>
      <w:r>
        <w:t>91</w:t>
      </w:r>
      <w:r>
        <w:fldChar w:fldCharType="end"/>
      </w:r>
      <w:r>
        <w:rPr>
          <w:i w:val="0"/>
          <w:iCs w:val="0"/>
          <w:color w:val="auto"/>
          <w:szCs w:val="21"/>
          <w:highlight w:val="none"/>
        </w:rPr>
        <w:fldChar w:fldCharType="end"/>
      </w:r>
    </w:p>
    <w:p w14:paraId="54664538">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_Toc14723 </w:instrText>
      </w:r>
      <w:r>
        <w:rPr>
          <w:i w:val="0"/>
          <w:iCs w:val="0"/>
          <w:szCs w:val="21"/>
          <w:highlight w:val="none"/>
        </w:rPr>
        <w:fldChar w:fldCharType="separate"/>
      </w:r>
      <w:r>
        <w:rPr>
          <w:rFonts w:hint="default" w:ascii="Arial" w:hAnsi="Arial" w:cs="Arial"/>
          <w:i w:val="0"/>
          <w:iCs w:val="0"/>
          <w:szCs w:val="22"/>
          <w:lang w:val="en-US"/>
        </w:rPr>
        <w:t xml:space="preserve">19.13.1 </w:t>
      </w:r>
      <w:r>
        <w:rPr>
          <w:rFonts w:hint="eastAsia"/>
          <w:i w:val="0"/>
          <w:iCs w:val="0"/>
          <w:szCs w:val="22"/>
          <w:highlight w:val="none"/>
          <w:lang w:val="en-US"/>
        </w:rPr>
        <w:t>完工检验</w:t>
      </w:r>
      <w:r>
        <w:tab/>
      </w:r>
      <w:r>
        <w:fldChar w:fldCharType="begin"/>
      </w:r>
      <w:r>
        <w:instrText xml:space="preserve"> PAGEREF _Toc14723 \h </w:instrText>
      </w:r>
      <w:r>
        <w:fldChar w:fldCharType="separate"/>
      </w:r>
      <w:r>
        <w:t>91</w:t>
      </w:r>
      <w:r>
        <w:fldChar w:fldCharType="end"/>
      </w:r>
      <w:r>
        <w:rPr>
          <w:i w:val="0"/>
          <w:iCs w:val="0"/>
          <w:color w:val="auto"/>
          <w:szCs w:val="21"/>
          <w:highlight w:val="none"/>
        </w:rPr>
        <w:fldChar w:fldCharType="end"/>
      </w:r>
    </w:p>
    <w:p w14:paraId="691C0311">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_Toc32319 </w:instrText>
      </w:r>
      <w:r>
        <w:rPr>
          <w:i w:val="0"/>
          <w:iCs w:val="0"/>
          <w:szCs w:val="21"/>
          <w:highlight w:val="none"/>
        </w:rPr>
        <w:fldChar w:fldCharType="separate"/>
      </w:r>
      <w:r>
        <w:rPr>
          <w:rFonts w:hint="default" w:ascii="Arial" w:hAnsi="Arial" w:cs="Arial"/>
          <w:i w:val="0"/>
          <w:iCs w:val="0"/>
          <w:szCs w:val="22"/>
          <w:lang w:val="en-US"/>
        </w:rPr>
        <w:t xml:space="preserve">19.13.2 </w:t>
      </w:r>
      <w:r>
        <w:rPr>
          <w:rFonts w:hint="eastAsia"/>
          <w:i w:val="0"/>
          <w:iCs w:val="0"/>
          <w:szCs w:val="22"/>
          <w:highlight w:val="none"/>
          <w:lang w:val="en-US"/>
        </w:rPr>
        <w:t>检查主要要求</w:t>
      </w:r>
      <w:r>
        <w:tab/>
      </w:r>
      <w:r>
        <w:fldChar w:fldCharType="begin"/>
      </w:r>
      <w:r>
        <w:instrText xml:space="preserve"> PAGEREF _Toc32319 \h </w:instrText>
      </w:r>
      <w:r>
        <w:fldChar w:fldCharType="separate"/>
      </w:r>
      <w:r>
        <w:t>91</w:t>
      </w:r>
      <w:r>
        <w:fldChar w:fldCharType="end"/>
      </w:r>
      <w:r>
        <w:rPr>
          <w:i w:val="0"/>
          <w:iCs w:val="0"/>
          <w:color w:val="auto"/>
          <w:szCs w:val="21"/>
          <w:highlight w:val="none"/>
        </w:rPr>
        <w:fldChar w:fldCharType="end"/>
      </w:r>
    </w:p>
    <w:p w14:paraId="72465DEE">
      <w:pPr>
        <w:pStyle w:val="44"/>
        <w:tabs>
          <w:tab w:val="right" w:leader="dot" w:pos="8743"/>
          <w:tab w:val="clear" w:pos="8733"/>
        </w:tabs>
      </w:pPr>
      <w:r>
        <w:rPr>
          <w:i w:val="0"/>
          <w:iCs w:val="0"/>
          <w:color w:val="auto"/>
          <w:szCs w:val="21"/>
          <w:highlight w:val="none"/>
        </w:rPr>
        <w:fldChar w:fldCharType="begin"/>
      </w:r>
      <w:r>
        <w:rPr>
          <w:i w:val="0"/>
          <w:iCs w:val="0"/>
          <w:szCs w:val="21"/>
          <w:highlight w:val="none"/>
        </w:rPr>
        <w:instrText xml:space="preserve"> HYPERLINK \l _Toc26672 </w:instrText>
      </w:r>
      <w:r>
        <w:rPr>
          <w:i w:val="0"/>
          <w:iCs w:val="0"/>
          <w:szCs w:val="21"/>
          <w:highlight w:val="none"/>
        </w:rPr>
        <w:fldChar w:fldCharType="separate"/>
      </w:r>
      <w:r>
        <w:rPr>
          <w:rFonts w:hint="default" w:ascii="Arial" w:hAnsi="Arial" w:cs="Arial"/>
          <w:i w:val="0"/>
          <w:iCs w:val="0"/>
          <w:szCs w:val="22"/>
          <w:lang w:val="en-US"/>
        </w:rPr>
        <w:t xml:space="preserve">19.13.3 </w:t>
      </w:r>
      <w:r>
        <w:rPr>
          <w:rFonts w:hint="eastAsia"/>
          <w:i w:val="0"/>
          <w:iCs w:val="0"/>
          <w:szCs w:val="22"/>
          <w:highlight w:val="none"/>
          <w:lang w:val="en-US"/>
        </w:rPr>
        <w:t>调试验收</w:t>
      </w:r>
      <w:r>
        <w:tab/>
      </w:r>
      <w:r>
        <w:fldChar w:fldCharType="begin"/>
      </w:r>
      <w:r>
        <w:instrText xml:space="preserve"> PAGEREF _Toc26672 \h </w:instrText>
      </w:r>
      <w:r>
        <w:fldChar w:fldCharType="separate"/>
      </w:r>
      <w:r>
        <w:t>92</w:t>
      </w:r>
      <w:r>
        <w:fldChar w:fldCharType="end"/>
      </w:r>
      <w:r>
        <w:rPr>
          <w:i w:val="0"/>
          <w:iCs w:val="0"/>
          <w:color w:val="auto"/>
          <w:szCs w:val="21"/>
          <w:highlight w:val="none"/>
        </w:rPr>
        <w:fldChar w:fldCharType="end"/>
      </w:r>
    </w:p>
    <w:p w14:paraId="36A78877">
      <w:pPr>
        <w:pStyle w:val="59"/>
        <w:tabs>
          <w:tab w:val="right" w:leader="dot" w:pos="8743"/>
          <w:tab w:val="clear" w:pos="560"/>
          <w:tab w:val="clear" w:pos="8733"/>
        </w:tabs>
      </w:pPr>
      <w:r>
        <w:rPr>
          <w:i w:val="0"/>
          <w:iCs w:val="0"/>
          <w:color w:val="auto"/>
          <w:szCs w:val="21"/>
          <w:highlight w:val="none"/>
        </w:rPr>
        <w:fldChar w:fldCharType="begin"/>
      </w:r>
      <w:r>
        <w:rPr>
          <w:i w:val="0"/>
          <w:iCs w:val="0"/>
          <w:szCs w:val="21"/>
          <w:highlight w:val="none"/>
        </w:rPr>
        <w:instrText xml:space="preserve"> HYPERLINK \l _Toc23327 </w:instrText>
      </w:r>
      <w:r>
        <w:rPr>
          <w:i w:val="0"/>
          <w:iCs w:val="0"/>
          <w:szCs w:val="21"/>
          <w:highlight w:val="none"/>
        </w:rPr>
        <w:fldChar w:fldCharType="separate"/>
      </w:r>
      <w:r>
        <w:rPr>
          <w:rFonts w:hint="default" w:ascii="Arial" w:hAnsi="Arial" w:cs="Arial"/>
          <w:bCs w:val="0"/>
          <w:i w:val="0"/>
          <w:iCs w:val="0"/>
          <w:caps w:val="0"/>
          <w:smallCaps w:val="0"/>
          <w:strike w:val="0"/>
          <w:dstrike w:val="0"/>
          <w:vanish w:val="0"/>
          <w:spacing w:val="0"/>
          <w:position w:val="0"/>
          <w:szCs w:val="22"/>
          <w:vertAlign w:val="baseline"/>
          <w14:shadow w14:blurRad="0" w14:dist="0" w14:dir="0" w14:sx="0" w14:sy="0" w14:kx="0" w14:ky="0" w14:algn="none">
            <w14:srgbClr w14:val="000000"/>
          </w14:shadow>
        </w:rPr>
        <w:t xml:space="preserve">20. </w:t>
      </w:r>
      <w:r>
        <w:rPr>
          <w:rFonts w:hint="eastAsia"/>
          <w:i w:val="0"/>
          <w:iCs w:val="0"/>
          <w:szCs w:val="32"/>
          <w:highlight w:val="none"/>
        </w:rPr>
        <w:t>偏差说明</w:t>
      </w:r>
      <w:r>
        <w:tab/>
      </w:r>
      <w:r>
        <w:fldChar w:fldCharType="begin"/>
      </w:r>
      <w:r>
        <w:instrText xml:space="preserve"> PAGEREF _Toc23327 \h </w:instrText>
      </w:r>
      <w:r>
        <w:fldChar w:fldCharType="separate"/>
      </w:r>
      <w:r>
        <w:t>93</w:t>
      </w:r>
      <w:r>
        <w:fldChar w:fldCharType="end"/>
      </w:r>
      <w:r>
        <w:rPr>
          <w:i w:val="0"/>
          <w:iCs w:val="0"/>
          <w:color w:val="auto"/>
          <w:szCs w:val="21"/>
          <w:highlight w:val="none"/>
        </w:rPr>
        <w:fldChar w:fldCharType="end"/>
      </w:r>
    </w:p>
    <w:p w14:paraId="234F990F">
      <w:pPr>
        <w:pStyle w:val="44"/>
        <w:rPr>
          <w:i w:val="0"/>
          <w:iCs w:val="0"/>
          <w:color w:val="auto"/>
          <w:sz w:val="21"/>
          <w:szCs w:val="21"/>
          <w:highlight w:val="none"/>
        </w:rPr>
      </w:pPr>
      <w:r>
        <w:rPr>
          <w:i w:val="0"/>
          <w:iCs w:val="0"/>
          <w:color w:val="auto"/>
          <w:szCs w:val="21"/>
          <w:highlight w:val="none"/>
        </w:rPr>
        <w:fldChar w:fldCharType="end"/>
      </w:r>
      <w:bookmarkStart w:id="0" w:name="_Toc69305964"/>
    </w:p>
    <w:p w14:paraId="234F9910">
      <w:pPr>
        <w:rPr>
          <w:i w:val="0"/>
          <w:iCs w:val="0"/>
          <w:color w:val="auto"/>
          <w:sz w:val="21"/>
          <w:szCs w:val="20"/>
          <w:highlight w:val="none"/>
        </w:rPr>
        <w:sectPr>
          <w:headerReference r:id="rId5" w:type="default"/>
          <w:footerReference r:id="rId6" w:type="default"/>
          <w:pgSz w:w="11907" w:h="16839"/>
          <w:pgMar w:top="1440" w:right="1440" w:bottom="1440" w:left="1440" w:header="992" w:footer="851" w:gutter="284"/>
          <w:pgNumType w:fmt="upperRoman" w:start="1"/>
          <w:cols w:space="425" w:num="1"/>
          <w:docGrid w:linePitch="381" w:charSpace="0"/>
        </w:sectPr>
      </w:pPr>
    </w:p>
    <w:bookmarkEnd w:id="0"/>
    <w:p w14:paraId="234F9911">
      <w:pPr>
        <w:pStyle w:val="3"/>
        <w:rPr>
          <w:i w:val="0"/>
          <w:iCs w:val="0"/>
          <w:color w:val="auto"/>
          <w:sz w:val="24"/>
          <w:szCs w:val="32"/>
          <w:highlight w:val="none"/>
        </w:rPr>
      </w:pPr>
      <w:bookmarkStart w:id="1" w:name="_Toc10537"/>
      <w:bookmarkStart w:id="2" w:name="_Toc30251441"/>
      <w:bookmarkStart w:id="3" w:name="_Toc29148337"/>
      <w:bookmarkStart w:id="4" w:name="_Hlk33987176"/>
      <w:r>
        <w:rPr>
          <w:rFonts w:hint="eastAsia"/>
          <w:i w:val="0"/>
          <w:iCs w:val="0"/>
          <w:color w:val="auto"/>
          <w:sz w:val="24"/>
          <w:szCs w:val="32"/>
          <w:highlight w:val="none"/>
        </w:rPr>
        <w:t>项目概述</w:t>
      </w:r>
      <w:bookmarkEnd w:id="1"/>
    </w:p>
    <w:p w14:paraId="234F9912">
      <w:pPr>
        <w:pStyle w:val="4"/>
        <w:rPr>
          <w:i w:val="0"/>
          <w:iCs w:val="0"/>
          <w:color w:val="auto"/>
          <w:sz w:val="24"/>
          <w:szCs w:val="21"/>
          <w:highlight w:val="none"/>
        </w:rPr>
      </w:pPr>
      <w:bookmarkStart w:id="5" w:name="_Toc2068"/>
      <w:r>
        <w:rPr>
          <w:rFonts w:hint="eastAsia"/>
          <w:i w:val="0"/>
          <w:iCs w:val="0"/>
          <w:color w:val="auto"/>
          <w:sz w:val="24"/>
          <w:szCs w:val="21"/>
          <w:highlight w:val="none"/>
        </w:rPr>
        <w:t>工程概述</w:t>
      </w:r>
      <w:bookmarkEnd w:id="5"/>
    </w:p>
    <w:p w14:paraId="234F9913">
      <w:pPr>
        <w:pStyle w:val="142"/>
        <w:ind w:firstLine="420"/>
        <w:rPr>
          <w:i w:val="0"/>
          <w:iCs w:val="0"/>
          <w:color w:val="auto"/>
          <w:sz w:val="21"/>
          <w:szCs w:val="15"/>
          <w:highlight w:val="none"/>
        </w:rPr>
      </w:pPr>
      <w:r>
        <w:rPr>
          <w:rFonts w:hint="eastAsia"/>
          <w:i w:val="0"/>
          <w:iCs w:val="0"/>
          <w:color w:val="auto"/>
          <w:sz w:val="21"/>
          <w:szCs w:val="15"/>
          <w:highlight w:val="none"/>
          <w:lang w:val="en-US"/>
        </w:rPr>
        <w:t>长沙</w:t>
      </w:r>
      <w:r>
        <w:rPr>
          <w:rFonts w:hint="eastAsia"/>
          <w:i w:val="0"/>
          <w:iCs w:val="0"/>
          <w:color w:val="auto"/>
          <w:sz w:val="21"/>
          <w:szCs w:val="15"/>
          <w:highlight w:val="none"/>
          <w:lang w:val="en-US" w:eastAsia="zh-CN"/>
        </w:rPr>
        <w:t>市</w:t>
      </w:r>
      <w:r>
        <w:rPr>
          <w:rFonts w:hint="eastAsia"/>
          <w:i w:val="0"/>
          <w:iCs w:val="0"/>
          <w:color w:val="auto"/>
          <w:sz w:val="21"/>
          <w:szCs w:val="15"/>
          <w:highlight w:val="none"/>
        </w:rPr>
        <w:t>轨道交通6号线为东西向骨干线路，线路西起梅溪湖国际新城，东至黄花机场，线路全长约48.0km，全为地下线，设车站34座，全为地下站，其中换乘站13座，与地铁1、2、3、4、5、7、8、9、11、12号线、西环城际、长株城际、磁悬浮换乘。</w:t>
      </w:r>
    </w:p>
    <w:p w14:paraId="234F9914">
      <w:pPr>
        <w:pStyle w:val="142"/>
        <w:ind w:firstLine="420"/>
        <w:rPr>
          <w:i w:val="0"/>
          <w:iCs w:val="0"/>
          <w:color w:val="auto"/>
          <w:sz w:val="21"/>
          <w:szCs w:val="15"/>
          <w:highlight w:val="none"/>
        </w:rPr>
      </w:pPr>
      <w:r>
        <w:rPr>
          <w:rFonts w:hint="eastAsia"/>
          <w:i w:val="0"/>
          <w:iCs w:val="0"/>
          <w:color w:val="auto"/>
          <w:sz w:val="21"/>
          <w:szCs w:val="15"/>
          <w:highlight w:val="none"/>
          <w:lang w:val="en-US"/>
        </w:rPr>
        <w:t>长沙</w:t>
      </w:r>
      <w:r>
        <w:rPr>
          <w:rFonts w:hint="eastAsia"/>
          <w:i w:val="0"/>
          <w:iCs w:val="0"/>
          <w:color w:val="auto"/>
          <w:sz w:val="21"/>
          <w:szCs w:val="15"/>
          <w:highlight w:val="none"/>
          <w:lang w:val="en-US" w:eastAsia="zh-CN"/>
        </w:rPr>
        <w:t>市</w:t>
      </w:r>
      <w:r>
        <w:rPr>
          <w:rFonts w:hint="eastAsia"/>
          <w:i w:val="0"/>
          <w:iCs w:val="0"/>
          <w:color w:val="auto"/>
          <w:sz w:val="21"/>
          <w:szCs w:val="15"/>
          <w:highlight w:val="none"/>
        </w:rPr>
        <w:t>轨道交通6号线主方向为东西向，从西往东主要沿东方红路、桐梓坡路、湘雅路、迎宾路、人民路敷设；线路自西往东依次经过的主要大型客流集散点有：梅溪湖、湖南一师、</w:t>
      </w:r>
      <w:r>
        <w:rPr>
          <w:rFonts w:hint="eastAsia"/>
          <w:i w:val="0"/>
          <w:iCs w:val="0"/>
          <w:color w:val="auto"/>
          <w:sz w:val="21"/>
          <w:szCs w:val="15"/>
          <w:highlight w:val="none"/>
          <w:lang w:val="en-US" w:eastAsia="zh-CN"/>
        </w:rPr>
        <w:t>工商大学</w:t>
      </w:r>
      <w:r>
        <w:rPr>
          <w:rFonts w:hint="eastAsia"/>
          <w:i w:val="0"/>
          <w:iCs w:val="0"/>
          <w:color w:val="auto"/>
          <w:sz w:val="21"/>
          <w:szCs w:val="15"/>
          <w:highlight w:val="none"/>
        </w:rPr>
        <w:t>、省肿瘤医院、湘雅附三、湘雅医院、烈士公园、湘雅附二、黄花机场等等。</w:t>
      </w:r>
    </w:p>
    <w:p w14:paraId="234F9915">
      <w:pPr>
        <w:pStyle w:val="142"/>
        <w:ind w:firstLine="420"/>
        <w:rPr>
          <w:i w:val="0"/>
          <w:iCs w:val="0"/>
          <w:color w:val="auto"/>
          <w:sz w:val="21"/>
          <w:szCs w:val="15"/>
          <w:highlight w:val="none"/>
        </w:rPr>
      </w:pPr>
      <w:r>
        <w:rPr>
          <w:rFonts w:hint="eastAsia"/>
          <w:i w:val="0"/>
          <w:iCs w:val="0"/>
          <w:color w:val="auto"/>
          <w:sz w:val="21"/>
          <w:szCs w:val="15"/>
          <w:highlight w:val="none"/>
        </w:rPr>
        <w:t>长沙市轨道交通6号线智慧地铁建设工程按照建设节点，分为建设期建设内容、运营期建设内容两大板块；长沙市轨道交通6号线运营前实施内容为建设期内容，运营后实施内容为运营期项目内容。</w:t>
      </w:r>
    </w:p>
    <w:p w14:paraId="234F9916">
      <w:pPr>
        <w:pStyle w:val="142"/>
        <w:ind w:firstLine="420"/>
        <w:rPr>
          <w:i w:val="0"/>
          <w:iCs w:val="0"/>
          <w:color w:val="auto"/>
          <w:sz w:val="21"/>
          <w:szCs w:val="15"/>
          <w:highlight w:val="none"/>
        </w:rPr>
      </w:pPr>
      <w:r>
        <w:rPr>
          <w:rFonts w:hint="eastAsia"/>
          <w:i w:val="0"/>
          <w:iCs w:val="0"/>
          <w:color w:val="auto"/>
          <w:sz w:val="21"/>
          <w:szCs w:val="15"/>
          <w:highlight w:val="none"/>
        </w:rPr>
        <w:t>长沙市轨道交通6号线智慧地铁建设工程（运营期）项目</w:t>
      </w:r>
      <w:r>
        <w:rPr>
          <w:rFonts w:hint="eastAsia"/>
          <w:i w:val="0"/>
          <w:iCs w:val="0"/>
          <w:color w:val="auto"/>
          <w:sz w:val="21"/>
          <w:szCs w:val="15"/>
          <w:highlight w:val="none"/>
          <w:lang w:val="en-US"/>
        </w:rPr>
        <w:t>招标</w:t>
      </w:r>
      <w:r>
        <w:rPr>
          <w:rFonts w:hint="eastAsia"/>
          <w:i w:val="0"/>
          <w:iCs w:val="0"/>
          <w:color w:val="auto"/>
          <w:sz w:val="21"/>
          <w:szCs w:val="15"/>
          <w:highlight w:val="none"/>
        </w:rPr>
        <w:t>范围主要包括长沙市轨道交通6号线全线34座车站及1座停车场、1座车辆段、1座控制中心范围内的智慧地铁</w:t>
      </w:r>
      <w:r>
        <w:rPr>
          <w:rFonts w:hint="eastAsia"/>
          <w:i w:val="0"/>
          <w:iCs w:val="0"/>
          <w:color w:val="auto"/>
          <w:sz w:val="21"/>
          <w:szCs w:val="15"/>
          <w:highlight w:val="none"/>
          <w:lang w:val="en-US"/>
        </w:rPr>
        <w:t>系统集成和施工</w:t>
      </w:r>
      <w:r>
        <w:rPr>
          <w:rFonts w:hint="eastAsia"/>
          <w:i w:val="0"/>
          <w:iCs w:val="0"/>
          <w:color w:val="auto"/>
          <w:sz w:val="21"/>
          <w:szCs w:val="15"/>
          <w:highlight w:val="none"/>
        </w:rPr>
        <w:t>内容。</w:t>
      </w:r>
    </w:p>
    <w:p w14:paraId="234F9917">
      <w:pPr>
        <w:pStyle w:val="4"/>
        <w:rPr>
          <w:i w:val="0"/>
          <w:iCs w:val="0"/>
          <w:color w:val="auto"/>
          <w:sz w:val="24"/>
          <w:szCs w:val="21"/>
          <w:highlight w:val="none"/>
        </w:rPr>
      </w:pPr>
      <w:bookmarkStart w:id="6" w:name="_Toc31312"/>
      <w:r>
        <w:rPr>
          <w:rFonts w:hint="eastAsia"/>
          <w:i w:val="0"/>
          <w:iCs w:val="0"/>
          <w:color w:val="auto"/>
          <w:sz w:val="24"/>
          <w:szCs w:val="21"/>
          <w:highlight w:val="none"/>
        </w:rPr>
        <w:t>项目范围</w:t>
      </w:r>
      <w:bookmarkEnd w:id="6"/>
    </w:p>
    <w:p w14:paraId="234F9918">
      <w:pPr>
        <w:pStyle w:val="142"/>
        <w:ind w:firstLine="420"/>
        <w:rPr>
          <w:i w:val="0"/>
          <w:iCs w:val="0"/>
          <w:color w:val="auto"/>
          <w:sz w:val="21"/>
          <w:szCs w:val="15"/>
          <w:highlight w:val="none"/>
        </w:rPr>
      </w:pPr>
      <w:r>
        <w:rPr>
          <w:rFonts w:hint="eastAsia"/>
          <w:i w:val="0"/>
          <w:iCs w:val="0"/>
          <w:color w:val="auto"/>
          <w:sz w:val="21"/>
          <w:szCs w:val="15"/>
          <w:highlight w:val="none"/>
        </w:rPr>
        <w:t>本次</w:t>
      </w:r>
      <w:r>
        <w:rPr>
          <w:rFonts w:hint="eastAsia"/>
          <w:i w:val="0"/>
          <w:iCs w:val="0"/>
          <w:color w:val="auto"/>
          <w:sz w:val="21"/>
          <w:szCs w:val="15"/>
          <w:highlight w:val="none"/>
          <w:lang w:val="en-US"/>
        </w:rPr>
        <w:t>招标</w:t>
      </w:r>
      <w:r>
        <w:rPr>
          <w:rFonts w:hint="eastAsia"/>
          <w:i w:val="0"/>
          <w:iCs w:val="0"/>
          <w:color w:val="auto"/>
          <w:sz w:val="21"/>
          <w:szCs w:val="15"/>
          <w:highlight w:val="none"/>
        </w:rPr>
        <w:t>范围为长沙市轨道交通6号线智慧地铁建设工程（运营期）项目内容，主要包括业务应用、云平台两大部分，支撑构建具有长沙特色的智慧地铁。其中运营期业务应用范围主要包括：</w:t>
      </w:r>
    </w:p>
    <w:p w14:paraId="234F9919">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eastAsia="zh-CN"/>
        </w:rPr>
        <w:t>（1）在</w:t>
      </w:r>
      <w:r>
        <w:rPr>
          <w:rFonts w:hint="eastAsia"/>
          <w:i w:val="0"/>
          <w:iCs w:val="0"/>
          <w:color w:val="auto"/>
          <w:sz w:val="21"/>
          <w:szCs w:val="15"/>
          <w:highlight w:val="none"/>
          <w:lang w:val="en-US"/>
        </w:rPr>
        <w:t>全线34个车站</w:t>
      </w:r>
      <w:r>
        <w:rPr>
          <w:rFonts w:hint="eastAsia"/>
          <w:i w:val="0"/>
          <w:iCs w:val="0"/>
          <w:color w:val="auto"/>
          <w:sz w:val="21"/>
          <w:szCs w:val="15"/>
          <w:highlight w:val="none"/>
          <w:lang w:val="en-US" w:eastAsia="zh-CN"/>
        </w:rPr>
        <w:t>设置电子水尺，部署车站级</w:t>
      </w:r>
      <w:r>
        <w:rPr>
          <w:rFonts w:hint="eastAsia"/>
          <w:i w:val="0"/>
          <w:iCs w:val="0"/>
          <w:color w:val="auto"/>
          <w:sz w:val="21"/>
          <w:szCs w:val="15"/>
          <w:highlight w:val="none"/>
          <w:lang w:val="en-US"/>
        </w:rPr>
        <w:t>防洪防汛应急处置功能</w:t>
      </w:r>
      <w:r>
        <w:rPr>
          <w:rFonts w:hint="eastAsia"/>
          <w:i w:val="0"/>
          <w:iCs w:val="0"/>
          <w:color w:val="auto"/>
          <w:sz w:val="21"/>
          <w:szCs w:val="15"/>
          <w:highlight w:val="none"/>
          <w:lang w:val="en-US" w:eastAsia="zh-CN"/>
        </w:rPr>
        <w:t>模块</w:t>
      </w:r>
      <w:r>
        <w:rPr>
          <w:rFonts w:hint="eastAsia"/>
          <w:i w:val="0"/>
          <w:iCs w:val="0"/>
          <w:color w:val="auto"/>
          <w:sz w:val="21"/>
          <w:szCs w:val="15"/>
          <w:highlight w:val="none"/>
          <w:lang w:val="en-US"/>
        </w:rPr>
        <w:t>，实现防洪应急全流程管理。</w:t>
      </w:r>
    </w:p>
    <w:p w14:paraId="234F991A">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eastAsia="zh-CN"/>
        </w:rPr>
        <w:t>（2）</w:t>
      </w:r>
      <w:r>
        <w:rPr>
          <w:rFonts w:hint="eastAsia"/>
          <w:i w:val="0"/>
          <w:iCs w:val="0"/>
          <w:color w:val="auto"/>
          <w:sz w:val="21"/>
          <w:szCs w:val="15"/>
          <w:highlight w:val="none"/>
          <w:lang w:val="en-US"/>
        </w:rPr>
        <w:t>对34个车站的隔栏递物等场景实时监测分析，异常时告警。</w:t>
      </w:r>
    </w:p>
    <w:p w14:paraId="234F991B">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eastAsia="zh-CN"/>
        </w:rPr>
        <w:t>（3）</w:t>
      </w:r>
      <w:r>
        <w:rPr>
          <w:rFonts w:hint="eastAsia"/>
          <w:i w:val="0"/>
          <w:iCs w:val="0"/>
          <w:color w:val="auto"/>
          <w:sz w:val="21"/>
          <w:szCs w:val="15"/>
          <w:highlight w:val="none"/>
          <w:lang w:val="en-US"/>
        </w:rPr>
        <w:t>调整34座车站FAS、ISCS、ACS系统控制模式，安装语音播报装置，实现FAS与门禁智能联动。</w:t>
      </w:r>
    </w:p>
    <w:p w14:paraId="234F991C">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eastAsia="zh-CN"/>
        </w:rPr>
        <w:t>（4）</w:t>
      </w:r>
      <w:r>
        <w:rPr>
          <w:rFonts w:hint="eastAsia"/>
          <w:i w:val="0"/>
          <w:iCs w:val="0"/>
          <w:color w:val="auto"/>
          <w:sz w:val="21"/>
          <w:szCs w:val="15"/>
          <w:highlight w:val="none"/>
          <w:lang w:val="en-US"/>
        </w:rPr>
        <w:t>在</w:t>
      </w:r>
      <w:r>
        <w:rPr>
          <w:rFonts w:hint="eastAsia"/>
          <w:i w:val="0"/>
          <w:iCs w:val="0"/>
          <w:color w:val="auto"/>
          <w:sz w:val="21"/>
          <w:szCs w:val="15"/>
          <w:highlight w:val="none"/>
          <w:lang w:val="en-US" w:eastAsia="zh-CN"/>
        </w:rPr>
        <w:t>DCC、停车场、正线司机派班室等</w:t>
      </w:r>
      <w:r>
        <w:rPr>
          <w:rFonts w:hint="eastAsia"/>
          <w:i w:val="0"/>
          <w:iCs w:val="0"/>
          <w:color w:val="auto"/>
          <w:sz w:val="21"/>
          <w:szCs w:val="15"/>
          <w:highlight w:val="none"/>
          <w:lang w:val="en-US"/>
        </w:rPr>
        <w:t>场所</w:t>
      </w:r>
      <w:r>
        <w:rPr>
          <w:rFonts w:hint="eastAsia"/>
          <w:i w:val="0"/>
          <w:iCs w:val="0"/>
          <w:color w:val="auto"/>
          <w:sz w:val="21"/>
          <w:szCs w:val="15"/>
          <w:highlight w:val="none"/>
          <w:lang w:val="en-US" w:eastAsia="zh-CN"/>
        </w:rPr>
        <w:t>设置</w:t>
      </w:r>
      <w:r>
        <w:rPr>
          <w:rFonts w:hint="eastAsia"/>
          <w:i w:val="0"/>
          <w:iCs w:val="0"/>
          <w:color w:val="auto"/>
          <w:sz w:val="21"/>
          <w:szCs w:val="15"/>
          <w:highlight w:val="none"/>
          <w:lang w:val="en-US"/>
        </w:rPr>
        <w:t>司机监测显示器</w:t>
      </w:r>
      <w:r>
        <w:rPr>
          <w:rFonts w:hint="eastAsia"/>
          <w:i w:val="0"/>
          <w:iCs w:val="0"/>
          <w:color w:val="auto"/>
          <w:sz w:val="21"/>
          <w:szCs w:val="15"/>
          <w:highlight w:val="none"/>
          <w:lang w:val="en-US" w:eastAsia="zh-CN"/>
        </w:rPr>
        <w:t>，在51辆</w:t>
      </w:r>
      <w:r>
        <w:rPr>
          <w:rFonts w:hint="eastAsia"/>
          <w:i w:val="0"/>
          <w:iCs w:val="0"/>
          <w:color w:val="auto"/>
          <w:sz w:val="21"/>
          <w:szCs w:val="15"/>
          <w:highlight w:val="none"/>
          <w:lang w:val="en-US"/>
        </w:rPr>
        <w:t>列车</w:t>
      </w:r>
      <w:r>
        <w:rPr>
          <w:rFonts w:hint="eastAsia"/>
          <w:i w:val="0"/>
          <w:iCs w:val="0"/>
          <w:color w:val="auto"/>
          <w:sz w:val="21"/>
          <w:szCs w:val="15"/>
          <w:highlight w:val="none"/>
          <w:lang w:val="en-US" w:eastAsia="zh-CN"/>
        </w:rPr>
        <w:t>上安装</w:t>
      </w:r>
      <w:r>
        <w:rPr>
          <w:rFonts w:hint="eastAsia"/>
          <w:i w:val="0"/>
          <w:iCs w:val="0"/>
          <w:color w:val="auto"/>
          <w:sz w:val="21"/>
          <w:szCs w:val="15"/>
          <w:highlight w:val="none"/>
          <w:lang w:val="en-US"/>
        </w:rPr>
        <w:t>语音播报装置</w:t>
      </w:r>
      <w:r>
        <w:rPr>
          <w:rFonts w:hint="eastAsia"/>
          <w:i w:val="0"/>
          <w:iCs w:val="0"/>
          <w:color w:val="auto"/>
          <w:sz w:val="21"/>
          <w:szCs w:val="15"/>
          <w:highlight w:val="none"/>
          <w:lang w:val="en-US" w:eastAsia="zh-CN"/>
        </w:rPr>
        <w:t>进行</w:t>
      </w:r>
      <w:r>
        <w:rPr>
          <w:rFonts w:hint="eastAsia"/>
          <w:i w:val="0"/>
          <w:iCs w:val="0"/>
          <w:color w:val="auto"/>
          <w:sz w:val="21"/>
          <w:szCs w:val="15"/>
          <w:highlight w:val="none"/>
          <w:lang w:val="en-US"/>
        </w:rPr>
        <w:t>异常时提醒。</w:t>
      </w:r>
    </w:p>
    <w:p w14:paraId="234F991D">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eastAsia="zh-CN"/>
        </w:rPr>
        <w:t>（5）在</w:t>
      </w:r>
      <w:r>
        <w:rPr>
          <w:rFonts w:hint="eastAsia"/>
          <w:i w:val="0"/>
          <w:iCs w:val="0"/>
          <w:color w:val="auto"/>
          <w:sz w:val="21"/>
          <w:szCs w:val="15"/>
          <w:highlight w:val="none"/>
          <w:lang w:val="en-US"/>
        </w:rPr>
        <w:t>34个车站</w:t>
      </w:r>
      <w:r>
        <w:rPr>
          <w:rFonts w:hint="eastAsia"/>
          <w:i w:val="0"/>
          <w:iCs w:val="0"/>
          <w:color w:val="auto"/>
          <w:sz w:val="21"/>
          <w:szCs w:val="15"/>
          <w:highlight w:val="none"/>
          <w:lang w:val="en-US" w:eastAsia="zh-CN"/>
        </w:rPr>
        <w:t>安装</w:t>
      </w:r>
      <w:r>
        <w:rPr>
          <w:rFonts w:hint="eastAsia"/>
          <w:i w:val="0"/>
          <w:iCs w:val="0"/>
          <w:color w:val="auto"/>
          <w:sz w:val="21"/>
          <w:szCs w:val="15"/>
          <w:highlight w:val="none"/>
          <w:lang w:val="en-US"/>
        </w:rPr>
        <w:t>人脸识别读卡器，设置人脸信息录入终端和可视化对讲终端</w:t>
      </w:r>
      <w:r>
        <w:rPr>
          <w:rFonts w:hint="eastAsia"/>
          <w:i w:val="0"/>
          <w:iCs w:val="0"/>
          <w:color w:val="auto"/>
          <w:sz w:val="21"/>
          <w:szCs w:val="15"/>
          <w:highlight w:val="none"/>
          <w:lang w:val="en-US" w:eastAsia="zh-CN"/>
        </w:rPr>
        <w:t>，实现人脸门禁系统功能</w:t>
      </w:r>
      <w:r>
        <w:rPr>
          <w:rFonts w:hint="eastAsia"/>
          <w:i w:val="0"/>
          <w:iCs w:val="0"/>
          <w:color w:val="auto"/>
          <w:sz w:val="21"/>
          <w:szCs w:val="15"/>
          <w:highlight w:val="none"/>
          <w:lang w:val="en-US"/>
        </w:rPr>
        <w:t>。</w:t>
      </w:r>
    </w:p>
    <w:p w14:paraId="234F991E">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eastAsia="zh-CN"/>
        </w:rPr>
        <w:t>（6）</w:t>
      </w:r>
      <w:r>
        <w:rPr>
          <w:rFonts w:hint="eastAsia"/>
          <w:i w:val="0"/>
          <w:iCs w:val="0"/>
          <w:color w:val="auto"/>
          <w:sz w:val="21"/>
          <w:szCs w:val="15"/>
          <w:highlight w:val="none"/>
          <w:lang w:val="en-US"/>
        </w:rPr>
        <w:t>在2个试点车站加装智能钥匙柜，管控重要物品。</w:t>
      </w:r>
    </w:p>
    <w:p w14:paraId="234F991F">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eastAsia="zh-CN"/>
        </w:rPr>
        <w:t>（7）</w:t>
      </w:r>
      <w:r>
        <w:rPr>
          <w:rFonts w:hint="eastAsia"/>
          <w:i w:val="0"/>
          <w:iCs w:val="0"/>
          <w:color w:val="auto"/>
          <w:sz w:val="21"/>
          <w:szCs w:val="15"/>
          <w:highlight w:val="none"/>
          <w:lang w:val="en-US"/>
        </w:rPr>
        <w:t>构建综合智能运维平台，部署</w:t>
      </w:r>
      <w:r>
        <w:rPr>
          <w:rFonts w:hint="eastAsia"/>
          <w:i w:val="0"/>
          <w:iCs w:val="0"/>
          <w:color w:val="auto"/>
          <w:sz w:val="21"/>
          <w:szCs w:val="15"/>
          <w:highlight w:val="none"/>
          <w:lang w:val="en-US" w:eastAsia="zh-CN"/>
        </w:rPr>
        <w:t>AFC、通信、站台门、电扶梯、供电等</w:t>
      </w:r>
      <w:r>
        <w:rPr>
          <w:rFonts w:hint="eastAsia"/>
          <w:i w:val="0"/>
          <w:iCs w:val="0"/>
          <w:color w:val="auto"/>
          <w:sz w:val="21"/>
          <w:szCs w:val="15"/>
          <w:highlight w:val="none"/>
          <w:lang w:val="en-US"/>
        </w:rPr>
        <w:t>系统智能运维应用。</w:t>
      </w:r>
    </w:p>
    <w:p w14:paraId="234F9920">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eastAsia="zh-CN"/>
        </w:rPr>
        <w:t>（8）</w:t>
      </w:r>
      <w:r>
        <w:rPr>
          <w:rFonts w:hint="eastAsia"/>
          <w:i w:val="0"/>
          <w:iCs w:val="0"/>
          <w:color w:val="auto"/>
          <w:sz w:val="21"/>
          <w:szCs w:val="15"/>
          <w:highlight w:val="none"/>
          <w:lang w:val="en-US"/>
        </w:rPr>
        <w:t>在34个车站和维修工区安装</w:t>
      </w:r>
      <w:r>
        <w:rPr>
          <w:rFonts w:hint="eastAsia"/>
          <w:i w:val="0"/>
          <w:iCs w:val="0"/>
          <w:color w:val="auto"/>
          <w:sz w:val="21"/>
          <w:szCs w:val="15"/>
          <w:highlight w:val="none"/>
          <w:lang w:val="en-US" w:eastAsia="zh-CN"/>
        </w:rPr>
        <w:t>蓝牙信标和定位基站等</w:t>
      </w:r>
      <w:r>
        <w:rPr>
          <w:rFonts w:hint="eastAsia"/>
          <w:i w:val="0"/>
          <w:iCs w:val="0"/>
          <w:color w:val="auto"/>
          <w:sz w:val="21"/>
          <w:szCs w:val="15"/>
          <w:highlight w:val="none"/>
          <w:lang w:val="en-US"/>
        </w:rPr>
        <w:t>设备，部署委外人员管理系统。</w:t>
      </w:r>
    </w:p>
    <w:p w14:paraId="234F9921">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eastAsia="zh-CN"/>
        </w:rPr>
        <w:t>（9）分别</w:t>
      </w:r>
      <w:r>
        <w:rPr>
          <w:rFonts w:hint="eastAsia"/>
          <w:i w:val="0"/>
          <w:iCs w:val="0"/>
          <w:color w:val="auto"/>
          <w:sz w:val="21"/>
          <w:szCs w:val="15"/>
          <w:highlight w:val="none"/>
          <w:lang w:val="en-US"/>
        </w:rPr>
        <w:t>在</w:t>
      </w:r>
      <w:r>
        <w:rPr>
          <w:rFonts w:hint="eastAsia"/>
          <w:i w:val="0"/>
          <w:iCs w:val="0"/>
          <w:color w:val="auto"/>
          <w:sz w:val="21"/>
          <w:szCs w:val="15"/>
          <w:highlight w:val="none"/>
          <w:lang w:val="en-US" w:eastAsia="zh-CN"/>
        </w:rPr>
        <w:t>停车场、车辆段的</w:t>
      </w:r>
      <w:r>
        <w:rPr>
          <w:rFonts w:hint="eastAsia"/>
          <w:i w:val="0"/>
          <w:iCs w:val="0"/>
          <w:color w:val="auto"/>
          <w:sz w:val="21"/>
          <w:szCs w:val="15"/>
          <w:highlight w:val="none"/>
          <w:lang w:val="en-US"/>
        </w:rPr>
        <w:t>司机公寓</w:t>
      </w:r>
      <w:r>
        <w:rPr>
          <w:rFonts w:hint="eastAsia"/>
          <w:i w:val="0"/>
          <w:iCs w:val="0"/>
          <w:color w:val="auto"/>
          <w:sz w:val="21"/>
          <w:szCs w:val="15"/>
          <w:highlight w:val="none"/>
          <w:lang w:val="en-US" w:eastAsia="zh-CN"/>
        </w:rPr>
        <w:t>搭建</w:t>
      </w:r>
      <w:r>
        <w:rPr>
          <w:rFonts w:hint="eastAsia"/>
          <w:i w:val="0"/>
          <w:iCs w:val="0"/>
          <w:color w:val="auto"/>
          <w:sz w:val="21"/>
          <w:szCs w:val="15"/>
          <w:highlight w:val="none"/>
          <w:lang w:val="en-US"/>
        </w:rPr>
        <w:t>智慧</w:t>
      </w:r>
      <w:r>
        <w:rPr>
          <w:rFonts w:hint="eastAsia"/>
          <w:i w:val="0"/>
          <w:iCs w:val="0"/>
          <w:color w:val="auto"/>
          <w:sz w:val="21"/>
          <w:szCs w:val="15"/>
          <w:highlight w:val="none"/>
          <w:lang w:val="en-US" w:eastAsia="zh-CN"/>
        </w:rPr>
        <w:t>公寓</w:t>
      </w:r>
      <w:r>
        <w:rPr>
          <w:rFonts w:hint="eastAsia"/>
          <w:i w:val="0"/>
          <w:iCs w:val="0"/>
          <w:color w:val="auto"/>
          <w:sz w:val="21"/>
          <w:szCs w:val="15"/>
          <w:highlight w:val="none"/>
          <w:lang w:val="en-US"/>
        </w:rPr>
        <w:t>管理系统，实现自动入住等功能。</w:t>
      </w:r>
    </w:p>
    <w:p w14:paraId="234F9922">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eastAsia="zh-CN"/>
        </w:rPr>
        <w:t>（10）</w:t>
      </w:r>
      <w:r>
        <w:rPr>
          <w:rFonts w:hint="eastAsia"/>
          <w:i w:val="0"/>
          <w:iCs w:val="0"/>
          <w:color w:val="auto"/>
          <w:sz w:val="21"/>
          <w:szCs w:val="15"/>
          <w:highlight w:val="none"/>
          <w:lang w:val="en-US"/>
        </w:rPr>
        <w:t>建设安全生产网云节点并扩容存储，建设内部管理网云平台并迁移相关系统。</w:t>
      </w:r>
    </w:p>
    <w:p w14:paraId="234F9923">
      <w:pPr>
        <w:pStyle w:val="4"/>
        <w:rPr>
          <w:i w:val="0"/>
          <w:iCs w:val="0"/>
          <w:color w:val="auto"/>
          <w:sz w:val="24"/>
          <w:szCs w:val="21"/>
          <w:highlight w:val="none"/>
        </w:rPr>
      </w:pPr>
      <w:bookmarkStart w:id="7" w:name="_Toc10258"/>
      <w:r>
        <w:rPr>
          <w:rFonts w:hint="eastAsia"/>
          <w:i w:val="0"/>
          <w:iCs w:val="0"/>
          <w:color w:val="auto"/>
          <w:sz w:val="24"/>
          <w:szCs w:val="21"/>
          <w:highlight w:val="none"/>
        </w:rPr>
        <w:t>智慧地铁涉及既有系统目前建设情况</w:t>
      </w:r>
      <w:bookmarkEnd w:id="7"/>
    </w:p>
    <w:p w14:paraId="234F9924">
      <w:pPr>
        <w:pStyle w:val="6"/>
        <w:ind w:left="0"/>
        <w:rPr>
          <w:i w:val="0"/>
          <w:iCs w:val="0"/>
          <w:color w:val="auto"/>
          <w:sz w:val="22"/>
          <w:szCs w:val="22"/>
          <w:highlight w:val="none"/>
        </w:rPr>
      </w:pPr>
      <w:bookmarkStart w:id="8" w:name="_Toc15639"/>
      <w:r>
        <w:rPr>
          <w:rFonts w:hint="eastAsia"/>
          <w:i w:val="0"/>
          <w:iCs w:val="0"/>
          <w:color w:val="auto"/>
          <w:sz w:val="22"/>
          <w:szCs w:val="22"/>
          <w:highlight w:val="none"/>
        </w:rPr>
        <w:t>既有综合监控系统情况</w:t>
      </w:r>
      <w:bookmarkEnd w:id="8"/>
    </w:p>
    <w:p w14:paraId="234F9925">
      <w:pPr>
        <w:pStyle w:val="142"/>
        <w:ind w:firstLine="420"/>
        <w:rPr>
          <w:rFonts w:hint="eastAsia"/>
          <w:i w:val="0"/>
          <w:iCs w:val="0"/>
          <w:color w:val="auto"/>
          <w:sz w:val="21"/>
          <w:szCs w:val="15"/>
          <w:highlight w:val="none"/>
        </w:rPr>
      </w:pPr>
      <w:r>
        <w:rPr>
          <w:rFonts w:hint="eastAsia"/>
          <w:i w:val="0"/>
          <w:iCs w:val="0"/>
          <w:color w:val="auto"/>
          <w:sz w:val="21"/>
          <w:szCs w:val="15"/>
          <w:highlight w:val="none"/>
        </w:rPr>
        <w:t>综合监控系统由中央级综合监控系统、车站级综合监控系统、车辆段综合监控系统和其他辅助功能子系统（例如培训管理系统、集中告警系统、软件测试平台和网管系统等）等多个部分组成。通过综合监控骨干传输网将以上各部分联接起来，形成一个有机整体。</w:t>
      </w:r>
    </w:p>
    <w:p w14:paraId="234F9926">
      <w:pPr>
        <w:pStyle w:val="142"/>
        <w:ind w:firstLine="420"/>
        <w:rPr>
          <w:rFonts w:hint="eastAsia"/>
          <w:i w:val="0"/>
          <w:iCs w:val="0"/>
          <w:color w:val="auto"/>
          <w:sz w:val="21"/>
          <w:szCs w:val="15"/>
          <w:highlight w:val="none"/>
        </w:rPr>
      </w:pPr>
      <w:r>
        <w:rPr>
          <w:rFonts w:hint="eastAsia"/>
          <w:i w:val="0"/>
          <w:iCs w:val="0"/>
          <w:color w:val="auto"/>
          <w:sz w:val="21"/>
          <w:szCs w:val="15"/>
          <w:highlight w:val="none"/>
        </w:rPr>
        <w:t>既有综合监控系统集成了变电所综合自动化系统（PSCADA）、环境与设备监控系统（BAS）、火灾自动报警系统（FAS）、站台门（PSD）、防淹门（FG）、集中UPS（UPS）系统，同时与信号系统（SIG）、自动售检票系统（AFC）、门禁系统（ACS）、专用广播系统（ZPA）、专用视频监控系统（ZTV）、乘客信息显示系统（PIS）、通信集中告警系统（TEL/ALARM）、专用时钟系统（ZCK）、供电运行安全管理系统（WF）、扶梯系统实现互联。</w:t>
      </w:r>
    </w:p>
    <w:p w14:paraId="234F9927">
      <w:pPr>
        <w:pStyle w:val="142"/>
        <w:ind w:firstLine="420"/>
        <w:rPr>
          <w:rFonts w:hint="eastAsia"/>
          <w:i w:val="0"/>
          <w:iCs w:val="0"/>
          <w:color w:val="auto"/>
          <w:sz w:val="21"/>
          <w:szCs w:val="15"/>
          <w:highlight w:val="none"/>
        </w:rPr>
      </w:pPr>
      <w:r>
        <w:rPr>
          <w:rFonts w:hint="eastAsia"/>
          <w:i w:val="0"/>
          <w:iCs w:val="0"/>
          <w:color w:val="auto"/>
          <w:sz w:val="21"/>
          <w:szCs w:val="15"/>
          <w:highlight w:val="none"/>
        </w:rPr>
        <w:t>智慧地铁云平台利用既有</w:t>
      </w:r>
      <w:r>
        <w:rPr>
          <w:rFonts w:hint="eastAsia"/>
          <w:i w:val="0"/>
          <w:iCs w:val="0"/>
          <w:color w:val="auto"/>
          <w:sz w:val="21"/>
          <w:szCs w:val="15"/>
          <w:highlight w:val="none"/>
          <w:lang w:val="en-US"/>
        </w:rPr>
        <w:t>长沙</w:t>
      </w:r>
      <w:r>
        <w:rPr>
          <w:rFonts w:hint="eastAsia"/>
          <w:i w:val="0"/>
          <w:iCs w:val="0"/>
          <w:color w:val="auto"/>
          <w:sz w:val="21"/>
          <w:szCs w:val="15"/>
          <w:highlight w:val="none"/>
          <w:lang w:val="en-US" w:eastAsia="zh-CN"/>
        </w:rPr>
        <w:t>市</w:t>
      </w:r>
      <w:r>
        <w:rPr>
          <w:rFonts w:hint="eastAsia"/>
          <w:i w:val="0"/>
          <w:iCs w:val="0"/>
          <w:color w:val="auto"/>
          <w:sz w:val="21"/>
          <w:szCs w:val="15"/>
          <w:highlight w:val="none"/>
        </w:rPr>
        <w:t>轨道交通6号线综合监控系统中央级硬件资源及机房，同时新增硬件设备，搭建智慧地铁线路云平台。智慧地铁线路云平台数据中心承载智慧地铁管控平台及智慧地铁业务软件、智慧安检系统、智能客服系统、既有中央综合监控系统资源。</w:t>
      </w:r>
    </w:p>
    <w:p w14:paraId="234F9928">
      <w:pPr>
        <w:pStyle w:val="142"/>
        <w:ind w:firstLine="420"/>
        <w:rPr>
          <w:rFonts w:hint="eastAsia"/>
          <w:i w:val="0"/>
          <w:iCs w:val="0"/>
          <w:color w:val="auto"/>
          <w:sz w:val="21"/>
          <w:szCs w:val="15"/>
          <w:highlight w:val="none"/>
        </w:rPr>
      </w:pPr>
      <w:r>
        <w:rPr>
          <w:rFonts w:hint="eastAsia"/>
          <w:i w:val="0"/>
          <w:iCs w:val="0"/>
          <w:color w:val="auto"/>
          <w:sz w:val="21"/>
          <w:szCs w:val="15"/>
          <w:highlight w:val="none"/>
        </w:rPr>
        <w:t>智慧地铁管控平台已完成IaaS、PaaS、SaaS等服务的建设。在IaaS层提供云计算机服务器、通信设备、存储设备等硬件资源，能够按需提供的计算能力、存储能力或网络能力等IT基础设施类服务；在PaaS层已完成通用PaaS平台、大数据平台、AI平台、技术平台、业务平台等平台的建设；在SaaS层主要针对购票、检票、安检、客服、导向、运营管控等业务场景建立应用，以提升乘客服务水平和乘客出行效率。</w:t>
      </w:r>
    </w:p>
    <w:p w14:paraId="234F9929">
      <w:pPr>
        <w:pStyle w:val="6"/>
        <w:ind w:left="0"/>
        <w:rPr>
          <w:i w:val="0"/>
          <w:iCs w:val="0"/>
          <w:color w:val="auto"/>
          <w:sz w:val="22"/>
          <w:szCs w:val="22"/>
          <w:highlight w:val="none"/>
        </w:rPr>
      </w:pPr>
      <w:bookmarkStart w:id="9" w:name="_Toc24600"/>
      <w:bookmarkStart w:id="10" w:name="_Toc93674719"/>
      <w:r>
        <w:rPr>
          <w:rFonts w:hint="eastAsia"/>
          <w:i w:val="0"/>
          <w:iCs w:val="0"/>
          <w:color w:val="auto"/>
          <w:sz w:val="22"/>
          <w:szCs w:val="22"/>
          <w:highlight w:val="none"/>
        </w:rPr>
        <w:t>既有</w:t>
      </w:r>
      <w:r>
        <w:rPr>
          <w:rFonts w:hint="eastAsia"/>
          <w:i w:val="0"/>
          <w:iCs w:val="0"/>
          <w:color w:val="auto"/>
          <w:sz w:val="22"/>
          <w:szCs w:val="22"/>
          <w:highlight w:val="none"/>
          <w:lang w:val="en-US"/>
        </w:rPr>
        <w:t>FAS、ACS</w:t>
      </w:r>
      <w:r>
        <w:rPr>
          <w:rFonts w:hint="eastAsia"/>
          <w:i w:val="0"/>
          <w:iCs w:val="0"/>
          <w:color w:val="auto"/>
          <w:sz w:val="22"/>
          <w:szCs w:val="22"/>
          <w:highlight w:val="none"/>
        </w:rPr>
        <w:t>系统情况</w:t>
      </w:r>
      <w:bookmarkEnd w:id="9"/>
      <w:bookmarkEnd w:id="10"/>
    </w:p>
    <w:p w14:paraId="234F992B">
      <w:pPr>
        <w:pStyle w:val="142"/>
        <w:ind w:firstLine="420"/>
        <w:rPr>
          <w:rFonts w:hint="eastAsia"/>
          <w:i w:val="0"/>
          <w:iCs w:val="0"/>
          <w:color w:val="auto"/>
          <w:sz w:val="21"/>
          <w:szCs w:val="15"/>
          <w:highlight w:val="none"/>
        </w:rPr>
      </w:pPr>
      <w:r>
        <w:rPr>
          <w:rFonts w:hint="eastAsia"/>
          <w:i w:val="0"/>
          <w:iCs w:val="0"/>
          <w:color w:val="auto"/>
          <w:sz w:val="21"/>
          <w:szCs w:val="15"/>
          <w:highlight w:val="none"/>
          <w:lang w:val="en-US"/>
        </w:rPr>
        <w:t>长沙</w:t>
      </w:r>
      <w:r>
        <w:rPr>
          <w:rFonts w:hint="eastAsia"/>
          <w:i w:val="0"/>
          <w:iCs w:val="0"/>
          <w:color w:val="auto"/>
          <w:sz w:val="21"/>
          <w:szCs w:val="15"/>
          <w:highlight w:val="none"/>
          <w:lang w:val="en-US" w:eastAsia="zh-CN"/>
        </w:rPr>
        <w:t>市</w:t>
      </w:r>
      <w:r>
        <w:rPr>
          <w:rFonts w:hint="eastAsia"/>
          <w:i w:val="0"/>
          <w:iCs w:val="0"/>
          <w:color w:val="auto"/>
          <w:sz w:val="21"/>
          <w:szCs w:val="15"/>
          <w:highlight w:val="none"/>
        </w:rPr>
        <w:t>轨道交通6号线</w:t>
      </w:r>
      <w:r>
        <w:rPr>
          <w:rFonts w:hint="eastAsia"/>
          <w:i w:val="0"/>
          <w:iCs w:val="0"/>
          <w:color w:val="auto"/>
          <w:sz w:val="21"/>
          <w:szCs w:val="15"/>
          <w:highlight w:val="none"/>
          <w:lang w:val="en-US" w:eastAsia="zh-CN"/>
        </w:rPr>
        <w:t>在车站部署FAS系统和门禁系统，分别实现对气灭房间的火灾联动控制和进出管理；</w:t>
      </w:r>
      <w:r>
        <w:rPr>
          <w:rFonts w:hint="eastAsia"/>
          <w:i w:val="0"/>
          <w:iCs w:val="0"/>
          <w:color w:val="auto"/>
          <w:sz w:val="21"/>
          <w:szCs w:val="15"/>
          <w:highlight w:val="none"/>
        </w:rPr>
        <w:t>车站级综合监控系统已完成对火灾自动报警系统（FAS）、门禁系统（ACS）系统统一监控及互联互通，可通过综合监控对两者系统进行联动控制。</w:t>
      </w:r>
    </w:p>
    <w:p w14:paraId="234F992C">
      <w:pPr>
        <w:pStyle w:val="6"/>
        <w:ind w:left="0"/>
        <w:rPr>
          <w:i w:val="0"/>
          <w:iCs w:val="0"/>
          <w:color w:val="auto"/>
          <w:sz w:val="22"/>
          <w:szCs w:val="22"/>
          <w:highlight w:val="none"/>
        </w:rPr>
      </w:pPr>
      <w:bookmarkStart w:id="11" w:name="_Toc23061"/>
      <w:bookmarkStart w:id="12" w:name="_Toc93674721"/>
      <w:bookmarkStart w:id="13" w:name="_Toc91773293"/>
      <w:r>
        <w:rPr>
          <w:rFonts w:hint="eastAsia"/>
          <w:i w:val="0"/>
          <w:iCs w:val="0"/>
          <w:color w:val="auto"/>
          <w:sz w:val="22"/>
          <w:szCs w:val="22"/>
          <w:highlight w:val="none"/>
        </w:rPr>
        <w:t>既有安检系统情况</w:t>
      </w:r>
      <w:bookmarkEnd w:id="11"/>
      <w:bookmarkEnd w:id="12"/>
      <w:bookmarkEnd w:id="13"/>
    </w:p>
    <w:p w14:paraId="234F992D">
      <w:pPr>
        <w:pStyle w:val="142"/>
        <w:ind w:firstLine="420"/>
        <w:rPr>
          <w:rFonts w:hint="eastAsia"/>
          <w:i w:val="0"/>
          <w:iCs w:val="0"/>
          <w:color w:val="auto"/>
          <w:sz w:val="21"/>
          <w:szCs w:val="15"/>
          <w:highlight w:val="none"/>
        </w:rPr>
      </w:pPr>
      <w:r>
        <w:rPr>
          <w:rFonts w:hint="eastAsia"/>
          <w:i w:val="0"/>
          <w:iCs w:val="0"/>
          <w:color w:val="auto"/>
          <w:sz w:val="21"/>
          <w:szCs w:val="15"/>
          <w:highlight w:val="none"/>
          <w:lang w:val="en-US"/>
        </w:rPr>
        <w:t>长沙</w:t>
      </w:r>
      <w:r>
        <w:rPr>
          <w:rFonts w:hint="eastAsia"/>
          <w:i w:val="0"/>
          <w:iCs w:val="0"/>
          <w:color w:val="auto"/>
          <w:sz w:val="21"/>
          <w:szCs w:val="15"/>
          <w:highlight w:val="none"/>
          <w:lang w:val="en-US" w:eastAsia="zh-CN"/>
        </w:rPr>
        <w:t>市</w:t>
      </w:r>
      <w:r>
        <w:rPr>
          <w:rFonts w:hint="eastAsia"/>
          <w:i w:val="0"/>
          <w:iCs w:val="0"/>
          <w:color w:val="auto"/>
          <w:sz w:val="21"/>
          <w:szCs w:val="15"/>
          <w:highlight w:val="none"/>
        </w:rPr>
        <w:t>轨道交通6号线安检系统每个安检点部署一套</w:t>
      </w:r>
      <w:r>
        <w:rPr>
          <w:rFonts w:hint="eastAsia"/>
          <w:i w:val="0"/>
          <w:iCs w:val="0"/>
          <w:color w:val="auto"/>
          <w:sz w:val="21"/>
          <w:szCs w:val="15"/>
          <w:highlight w:val="none"/>
          <w:lang w:val="en-US"/>
        </w:rPr>
        <w:t>安检设备</w:t>
      </w:r>
      <w:r>
        <w:rPr>
          <w:rFonts w:hint="eastAsia"/>
          <w:i w:val="0"/>
          <w:iCs w:val="0"/>
          <w:color w:val="auto"/>
          <w:sz w:val="21"/>
          <w:szCs w:val="15"/>
          <w:highlight w:val="none"/>
        </w:rPr>
        <w:t>，全线34个车站共已启用安检68个，各安检点均配置有值机终端摄像头和外部环境检测摄像机，可借助这些摄像机的视频实现安检人员值机状态检测功能。</w:t>
      </w:r>
    </w:p>
    <w:p w14:paraId="234F992E">
      <w:pPr>
        <w:pStyle w:val="6"/>
        <w:ind w:left="0"/>
        <w:rPr>
          <w:i w:val="0"/>
          <w:iCs w:val="0"/>
          <w:color w:val="auto"/>
          <w:sz w:val="22"/>
          <w:szCs w:val="22"/>
          <w:highlight w:val="none"/>
        </w:rPr>
      </w:pPr>
      <w:bookmarkStart w:id="14" w:name="_Toc93674722"/>
      <w:bookmarkStart w:id="15" w:name="_Toc91773301"/>
      <w:bookmarkStart w:id="16" w:name="_Toc26516"/>
      <w:r>
        <w:rPr>
          <w:rFonts w:hint="eastAsia"/>
          <w:i w:val="0"/>
          <w:iCs w:val="0"/>
          <w:color w:val="auto"/>
          <w:sz w:val="22"/>
          <w:szCs w:val="22"/>
          <w:highlight w:val="none"/>
        </w:rPr>
        <w:t>既有视频监控系统情况</w:t>
      </w:r>
      <w:bookmarkEnd w:id="14"/>
      <w:bookmarkEnd w:id="15"/>
      <w:bookmarkEnd w:id="16"/>
    </w:p>
    <w:p w14:paraId="234F992F">
      <w:pPr>
        <w:pStyle w:val="142"/>
        <w:ind w:firstLine="420"/>
        <w:rPr>
          <w:rFonts w:hint="eastAsia"/>
          <w:i w:val="0"/>
          <w:iCs w:val="0"/>
          <w:color w:val="auto"/>
          <w:sz w:val="21"/>
          <w:szCs w:val="15"/>
          <w:highlight w:val="none"/>
        </w:rPr>
      </w:pPr>
      <w:r>
        <w:rPr>
          <w:rFonts w:hint="eastAsia"/>
          <w:i w:val="0"/>
          <w:iCs w:val="0"/>
          <w:color w:val="auto"/>
          <w:sz w:val="21"/>
          <w:szCs w:val="15"/>
          <w:highlight w:val="none"/>
          <w:lang w:val="en-US"/>
        </w:rPr>
        <w:t>长沙</w:t>
      </w:r>
      <w:r>
        <w:rPr>
          <w:rFonts w:hint="eastAsia"/>
          <w:i w:val="0"/>
          <w:iCs w:val="0"/>
          <w:color w:val="auto"/>
          <w:sz w:val="21"/>
          <w:szCs w:val="15"/>
          <w:highlight w:val="none"/>
          <w:lang w:val="en-US" w:eastAsia="zh-CN"/>
        </w:rPr>
        <w:t>市</w:t>
      </w:r>
      <w:r>
        <w:rPr>
          <w:rFonts w:hint="eastAsia"/>
          <w:i w:val="0"/>
          <w:iCs w:val="0"/>
          <w:color w:val="auto"/>
          <w:sz w:val="21"/>
          <w:szCs w:val="15"/>
          <w:highlight w:val="none"/>
        </w:rPr>
        <w:t>轨道交通6号线既有视频监控系统，采用H.264编码格式进行存储，视频监控系统在各个车站设备室内预留一面机柜，已预留智慧地铁视频分析系统分析设备的安装空间。</w:t>
      </w:r>
    </w:p>
    <w:p w14:paraId="234F9930">
      <w:pPr>
        <w:pStyle w:val="142"/>
        <w:ind w:firstLine="420"/>
        <w:rPr>
          <w:i w:val="0"/>
          <w:iCs w:val="0"/>
          <w:color w:val="auto"/>
          <w:sz w:val="21"/>
          <w:szCs w:val="15"/>
          <w:highlight w:val="none"/>
        </w:rPr>
      </w:pPr>
      <w:r>
        <w:rPr>
          <w:rFonts w:hint="eastAsia"/>
          <w:i w:val="0"/>
          <w:iCs w:val="0"/>
          <w:color w:val="auto"/>
          <w:sz w:val="21"/>
          <w:szCs w:val="15"/>
          <w:highlight w:val="none"/>
          <w:lang w:val="en-US"/>
        </w:rPr>
        <w:t>长沙</w:t>
      </w:r>
      <w:r>
        <w:rPr>
          <w:rFonts w:hint="eastAsia"/>
          <w:i w:val="0"/>
          <w:iCs w:val="0"/>
          <w:color w:val="auto"/>
          <w:sz w:val="21"/>
          <w:szCs w:val="15"/>
          <w:highlight w:val="none"/>
          <w:lang w:val="en-US" w:eastAsia="zh-CN"/>
        </w:rPr>
        <w:t>市</w:t>
      </w:r>
      <w:r>
        <w:rPr>
          <w:rFonts w:hint="eastAsia"/>
          <w:i w:val="0"/>
          <w:iCs w:val="0"/>
          <w:color w:val="auto"/>
          <w:sz w:val="21"/>
          <w:szCs w:val="15"/>
          <w:highlight w:val="none"/>
        </w:rPr>
        <w:t>轨道交通6号线</w:t>
      </w:r>
      <w:r>
        <w:rPr>
          <w:rFonts w:hint="eastAsia"/>
          <w:color w:val="auto"/>
          <w:sz w:val="21"/>
          <w:szCs w:val="15"/>
          <w:highlight w:val="none"/>
          <w:lang w:val="en-US" w:eastAsia="zh-CN"/>
        </w:rPr>
        <w:t>在建设期全线34车站实现客流热力密度、电梯（扶梯）异常监测等视频分析功能，在部分站点实现入侵监测、可疑物监测、客流统计、人员逗留监测、人员打架剧烈运动监测等视频分析；具体算法部署站点可在设计联络阶段提供</w:t>
      </w:r>
      <w:r>
        <w:rPr>
          <w:rFonts w:hint="eastAsia"/>
          <w:i w:val="0"/>
          <w:iCs w:val="0"/>
          <w:color w:val="auto"/>
          <w:sz w:val="21"/>
          <w:szCs w:val="15"/>
          <w:highlight w:val="none"/>
        </w:rPr>
        <w:t>。</w:t>
      </w:r>
    </w:p>
    <w:bookmarkEnd w:id="2"/>
    <w:bookmarkEnd w:id="3"/>
    <w:bookmarkEnd w:id="4"/>
    <w:p w14:paraId="234F9931">
      <w:pPr>
        <w:pStyle w:val="3"/>
        <w:rPr>
          <w:i w:val="0"/>
          <w:iCs w:val="0"/>
          <w:color w:val="auto"/>
          <w:sz w:val="24"/>
          <w:szCs w:val="32"/>
          <w:highlight w:val="none"/>
        </w:rPr>
      </w:pPr>
      <w:bookmarkStart w:id="17" w:name="_Toc8040"/>
      <w:r>
        <w:rPr>
          <w:rFonts w:hint="eastAsia"/>
          <w:i w:val="0"/>
          <w:iCs w:val="0"/>
          <w:color w:val="auto"/>
          <w:sz w:val="24"/>
          <w:szCs w:val="32"/>
          <w:highlight w:val="none"/>
        </w:rPr>
        <w:t>总则</w:t>
      </w:r>
      <w:bookmarkEnd w:id="17"/>
    </w:p>
    <w:p w14:paraId="234F9932">
      <w:pPr>
        <w:pStyle w:val="4"/>
        <w:rPr>
          <w:i w:val="0"/>
          <w:iCs w:val="0"/>
          <w:color w:val="auto"/>
          <w:sz w:val="24"/>
          <w:szCs w:val="21"/>
          <w:highlight w:val="none"/>
        </w:rPr>
      </w:pPr>
      <w:bookmarkStart w:id="18" w:name="_Toc7912"/>
      <w:r>
        <w:rPr>
          <w:rFonts w:hint="eastAsia"/>
          <w:i w:val="0"/>
          <w:iCs w:val="0"/>
          <w:color w:val="auto"/>
          <w:sz w:val="24"/>
          <w:szCs w:val="21"/>
          <w:highlight w:val="none"/>
        </w:rPr>
        <w:t>总体要求</w:t>
      </w:r>
      <w:bookmarkEnd w:id="18"/>
    </w:p>
    <w:p w14:paraId="234F9933">
      <w:pPr>
        <w:pStyle w:val="142"/>
        <w:ind w:firstLine="420"/>
        <w:rPr>
          <w:rFonts w:hint="eastAsia"/>
          <w:i w:val="0"/>
          <w:iCs w:val="0"/>
          <w:color w:val="auto"/>
          <w:sz w:val="21"/>
          <w:szCs w:val="15"/>
          <w:highlight w:val="none"/>
        </w:rPr>
      </w:pPr>
      <w:r>
        <w:rPr>
          <w:rFonts w:hint="eastAsia"/>
          <w:i w:val="0"/>
          <w:iCs w:val="0"/>
          <w:color w:val="auto"/>
          <w:sz w:val="21"/>
          <w:szCs w:val="15"/>
          <w:highlight w:val="none"/>
        </w:rPr>
        <w:t>本文件适用于长沙市轨道交通6号线智慧地铁建设工程</w:t>
      </w:r>
      <w:r>
        <w:rPr>
          <w:rFonts w:hint="eastAsia"/>
          <w:i w:val="0"/>
          <w:iCs w:val="0"/>
          <w:color w:val="auto"/>
          <w:sz w:val="21"/>
          <w:szCs w:val="15"/>
          <w:highlight w:val="none"/>
          <w:lang w:val="en-US"/>
        </w:rPr>
        <w:t>运营期</w:t>
      </w:r>
      <w:r>
        <w:rPr>
          <w:rFonts w:hint="eastAsia"/>
          <w:i w:val="0"/>
          <w:iCs w:val="0"/>
          <w:color w:val="auto"/>
          <w:sz w:val="21"/>
          <w:szCs w:val="15"/>
          <w:highlight w:val="none"/>
        </w:rPr>
        <w:t>(以下简称“6号线智慧地铁”)的采购招标。</w:t>
      </w:r>
    </w:p>
    <w:p w14:paraId="234F9934">
      <w:pPr>
        <w:pStyle w:val="142"/>
        <w:ind w:firstLine="420"/>
        <w:rPr>
          <w:rFonts w:hint="eastAsia"/>
          <w:i w:val="0"/>
          <w:iCs w:val="0"/>
          <w:color w:val="auto"/>
          <w:sz w:val="21"/>
          <w:szCs w:val="15"/>
          <w:highlight w:val="none"/>
        </w:rPr>
      </w:pPr>
      <w:r>
        <w:rPr>
          <w:rFonts w:hint="eastAsia"/>
          <w:i w:val="0"/>
          <w:iCs w:val="0"/>
          <w:color w:val="auto"/>
          <w:sz w:val="21"/>
          <w:szCs w:val="15"/>
          <w:highlight w:val="none"/>
        </w:rPr>
        <w:t>本项目招标确定的投标人承担项目总集成工作，对项目所辖工程的实现总负责。投标人应按照招标人的要求，</w:t>
      </w:r>
      <w:r>
        <w:rPr>
          <w:rFonts w:hint="eastAsia"/>
          <w:i w:val="0"/>
          <w:iCs w:val="0"/>
          <w:color w:val="auto"/>
          <w:sz w:val="21"/>
          <w:szCs w:val="15"/>
          <w:highlight w:val="none"/>
          <w:lang w:val="en-US" w:eastAsia="zh-CN"/>
        </w:rPr>
        <w:t>提供机房改造、</w:t>
      </w:r>
      <w:r>
        <w:rPr>
          <w:rFonts w:hint="eastAsia"/>
          <w:i w:val="0"/>
          <w:iCs w:val="0"/>
          <w:color w:val="auto"/>
          <w:sz w:val="21"/>
          <w:szCs w:val="15"/>
          <w:highlight w:val="none"/>
        </w:rPr>
        <w:t>系统设计</w:t>
      </w:r>
      <w:r>
        <w:rPr>
          <w:rFonts w:hint="eastAsia"/>
          <w:i w:val="0"/>
          <w:iCs w:val="0"/>
          <w:color w:val="auto"/>
          <w:sz w:val="21"/>
          <w:szCs w:val="15"/>
          <w:highlight w:val="none"/>
          <w:lang w:eastAsia="zh-CN"/>
        </w:rPr>
        <w:t>、</w:t>
      </w:r>
      <w:r>
        <w:rPr>
          <w:rFonts w:hint="eastAsia"/>
          <w:i w:val="0"/>
          <w:iCs w:val="0"/>
          <w:color w:val="auto"/>
          <w:sz w:val="21"/>
          <w:szCs w:val="15"/>
          <w:highlight w:val="none"/>
        </w:rPr>
        <w:t>软硬件开发与制造、供货</w:t>
      </w:r>
      <w:r>
        <w:rPr>
          <w:rFonts w:hint="eastAsia"/>
          <w:i w:val="0"/>
          <w:iCs w:val="0"/>
          <w:color w:val="auto"/>
          <w:sz w:val="21"/>
          <w:szCs w:val="15"/>
          <w:highlight w:val="none"/>
          <w:lang w:val="en-US"/>
        </w:rPr>
        <w:t>、设备的安装、管线敷设</w:t>
      </w:r>
      <w:r>
        <w:rPr>
          <w:rFonts w:hint="eastAsia"/>
          <w:i w:val="0"/>
          <w:iCs w:val="0"/>
          <w:color w:val="auto"/>
          <w:sz w:val="21"/>
          <w:szCs w:val="15"/>
          <w:highlight w:val="none"/>
        </w:rPr>
        <w:t>；系统及设备的单体调试、系统测试、设备联调、系统调试及试运行、其他相关验收等工作。确保系统通过验收及按要求时间开通，在质量保证期内做好</w:t>
      </w:r>
      <w:r>
        <w:rPr>
          <w:rFonts w:hint="eastAsia"/>
          <w:i w:val="0"/>
          <w:iCs w:val="0"/>
          <w:color w:val="auto"/>
          <w:sz w:val="21"/>
          <w:szCs w:val="15"/>
          <w:highlight w:val="none"/>
          <w:lang w:val="en-US"/>
        </w:rPr>
        <w:t>质保</w:t>
      </w:r>
      <w:r>
        <w:rPr>
          <w:rFonts w:hint="eastAsia"/>
          <w:i w:val="0"/>
          <w:iCs w:val="0"/>
          <w:color w:val="auto"/>
          <w:sz w:val="21"/>
          <w:szCs w:val="15"/>
          <w:highlight w:val="none"/>
        </w:rPr>
        <w:t>等服务。</w:t>
      </w:r>
    </w:p>
    <w:p w14:paraId="234F9935">
      <w:pPr>
        <w:pStyle w:val="142"/>
        <w:ind w:firstLine="420"/>
        <w:rPr>
          <w:rFonts w:hint="eastAsia"/>
          <w:i w:val="0"/>
          <w:iCs w:val="0"/>
          <w:color w:val="auto"/>
          <w:sz w:val="21"/>
          <w:szCs w:val="15"/>
          <w:highlight w:val="none"/>
        </w:rPr>
      </w:pPr>
      <w:r>
        <w:rPr>
          <w:rFonts w:hint="eastAsia"/>
          <w:i w:val="0"/>
          <w:iCs w:val="0"/>
          <w:color w:val="auto"/>
          <w:sz w:val="21"/>
          <w:szCs w:val="15"/>
          <w:highlight w:val="none"/>
        </w:rPr>
        <w:t>本文件的技术要求是投标人编制技术建议书的依据，投标人应认真理解所有条款的含义，并在此基础上逐条予以答复，并提出合理可行的技术建议书。</w:t>
      </w:r>
    </w:p>
    <w:p w14:paraId="234F9936">
      <w:pPr>
        <w:pStyle w:val="142"/>
        <w:ind w:firstLine="420"/>
        <w:rPr>
          <w:rFonts w:hint="eastAsia"/>
          <w:i w:val="0"/>
          <w:iCs w:val="0"/>
          <w:color w:val="auto"/>
          <w:sz w:val="21"/>
          <w:szCs w:val="15"/>
          <w:highlight w:val="none"/>
        </w:rPr>
      </w:pPr>
      <w:r>
        <w:rPr>
          <w:rFonts w:hint="eastAsia"/>
          <w:i w:val="0"/>
          <w:iCs w:val="0"/>
          <w:color w:val="auto"/>
          <w:sz w:val="21"/>
          <w:szCs w:val="15"/>
          <w:highlight w:val="none"/>
        </w:rPr>
        <w:t>技术建议应明确但不限于：系统构成方案、系统详细硬件配置、系统详细软件功能、系统在线联动编辑功能、系统接口规范、设备性能、各种参数、技术规格。</w:t>
      </w:r>
    </w:p>
    <w:p w14:paraId="234F9937">
      <w:pPr>
        <w:pStyle w:val="142"/>
        <w:ind w:firstLine="420"/>
        <w:rPr>
          <w:rFonts w:hint="eastAsia"/>
          <w:i w:val="0"/>
          <w:iCs w:val="0"/>
          <w:color w:val="auto"/>
          <w:sz w:val="21"/>
          <w:szCs w:val="15"/>
          <w:highlight w:val="none"/>
        </w:rPr>
      </w:pPr>
      <w:r>
        <w:rPr>
          <w:rFonts w:hint="eastAsia"/>
          <w:i w:val="0"/>
          <w:iCs w:val="0"/>
          <w:color w:val="auto"/>
          <w:sz w:val="21"/>
          <w:szCs w:val="15"/>
          <w:highlight w:val="none"/>
        </w:rPr>
        <w:t>投标人可根据自身的特点推荐应用最新技术制造的产品，但产品必须是成熟、可靠的，在建议书中应阐述选用此产品的意义，并提供证明资料、相关测试报告及详细解释。</w:t>
      </w:r>
    </w:p>
    <w:p w14:paraId="234F9938">
      <w:pPr>
        <w:pStyle w:val="142"/>
        <w:ind w:firstLine="420"/>
        <w:rPr>
          <w:i w:val="0"/>
          <w:iCs w:val="0"/>
          <w:color w:val="auto"/>
          <w:sz w:val="21"/>
          <w:szCs w:val="15"/>
          <w:highlight w:val="none"/>
        </w:rPr>
      </w:pPr>
      <w:r>
        <w:rPr>
          <w:rFonts w:hint="eastAsia"/>
          <w:i w:val="0"/>
          <w:iCs w:val="0"/>
          <w:color w:val="auto"/>
          <w:sz w:val="21"/>
          <w:szCs w:val="15"/>
          <w:highlight w:val="none"/>
        </w:rPr>
        <w:t>投标人应承担系统的安全性、可靠性、实时性、先进性、适用性、兼容性、可扩展性的全部责任。投标人应确保本系统所有接口的解决与实现。。</w:t>
      </w:r>
    </w:p>
    <w:p w14:paraId="234F9939">
      <w:pPr>
        <w:pStyle w:val="142"/>
        <w:ind w:firstLine="420"/>
        <w:rPr>
          <w:rFonts w:hint="eastAsia"/>
          <w:i w:val="0"/>
          <w:iCs w:val="0"/>
          <w:color w:val="auto"/>
          <w:sz w:val="21"/>
          <w:szCs w:val="15"/>
          <w:highlight w:val="none"/>
        </w:rPr>
      </w:pPr>
      <w:r>
        <w:rPr>
          <w:rFonts w:hint="eastAsia"/>
          <w:i w:val="0"/>
          <w:iCs w:val="0"/>
          <w:color w:val="auto"/>
          <w:sz w:val="21"/>
          <w:szCs w:val="15"/>
          <w:highlight w:val="none"/>
        </w:rPr>
        <w:t>投标人必须承诺针对本项目开发、定义的相关协议及接口标准，其知识产权可永久无偿用于本工程，并向招标人提供与产品配套的应用软件及开放接口协议。</w:t>
      </w:r>
    </w:p>
    <w:p w14:paraId="234F993A">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投标人应充分考虑长沙</w:t>
      </w:r>
      <w:r>
        <w:rPr>
          <w:rFonts w:hint="eastAsia"/>
          <w:i w:val="0"/>
          <w:iCs w:val="0"/>
          <w:color w:val="auto"/>
          <w:sz w:val="21"/>
          <w:szCs w:val="15"/>
          <w:highlight w:val="none"/>
          <w:lang w:val="en-US" w:eastAsia="zh-CN"/>
        </w:rPr>
        <w:t>市</w:t>
      </w:r>
      <w:r>
        <w:rPr>
          <w:rFonts w:hint="eastAsia"/>
          <w:i w:val="0"/>
          <w:iCs w:val="0"/>
          <w:color w:val="auto"/>
          <w:sz w:val="21"/>
          <w:szCs w:val="15"/>
          <w:highlight w:val="none"/>
        </w:rPr>
        <w:t>轨道交通6号线</w:t>
      </w:r>
      <w:r>
        <w:rPr>
          <w:rFonts w:hint="eastAsia"/>
          <w:i w:val="0"/>
          <w:iCs w:val="0"/>
          <w:color w:val="auto"/>
          <w:sz w:val="21"/>
          <w:szCs w:val="15"/>
          <w:highlight w:val="none"/>
          <w:lang w:val="en-US"/>
        </w:rPr>
        <w:t>运营对工程实施的影响，系统部署调试、设备安装、管线敷设等实施过程均不得影响长沙</w:t>
      </w:r>
      <w:r>
        <w:rPr>
          <w:rFonts w:hint="eastAsia"/>
          <w:i w:val="0"/>
          <w:iCs w:val="0"/>
          <w:color w:val="auto"/>
          <w:sz w:val="21"/>
          <w:szCs w:val="15"/>
          <w:highlight w:val="none"/>
          <w:lang w:val="en-US" w:eastAsia="zh-CN"/>
        </w:rPr>
        <w:t>市</w:t>
      </w:r>
      <w:r>
        <w:rPr>
          <w:rFonts w:hint="eastAsia"/>
          <w:i w:val="0"/>
          <w:iCs w:val="0"/>
          <w:color w:val="auto"/>
          <w:sz w:val="21"/>
          <w:szCs w:val="15"/>
          <w:highlight w:val="none"/>
        </w:rPr>
        <w:t>轨道交通6号线</w:t>
      </w:r>
      <w:r>
        <w:rPr>
          <w:rFonts w:hint="eastAsia"/>
          <w:i w:val="0"/>
          <w:iCs w:val="0"/>
          <w:color w:val="auto"/>
          <w:sz w:val="21"/>
          <w:szCs w:val="15"/>
          <w:highlight w:val="none"/>
          <w:lang w:val="en-US"/>
        </w:rPr>
        <w:t>正常运营；长沙</w:t>
      </w:r>
      <w:r>
        <w:rPr>
          <w:rFonts w:hint="eastAsia"/>
          <w:i w:val="0"/>
          <w:iCs w:val="0"/>
          <w:color w:val="auto"/>
          <w:sz w:val="21"/>
          <w:szCs w:val="15"/>
          <w:highlight w:val="none"/>
          <w:lang w:val="en-US" w:eastAsia="zh-CN"/>
        </w:rPr>
        <w:t>市</w:t>
      </w:r>
      <w:r>
        <w:rPr>
          <w:rFonts w:hint="eastAsia"/>
          <w:i w:val="0"/>
          <w:iCs w:val="0"/>
          <w:color w:val="auto"/>
          <w:sz w:val="21"/>
          <w:szCs w:val="15"/>
          <w:highlight w:val="none"/>
        </w:rPr>
        <w:t>轨道交通6号线</w:t>
      </w:r>
      <w:r>
        <w:rPr>
          <w:rFonts w:hint="eastAsia"/>
          <w:i w:val="0"/>
          <w:iCs w:val="0"/>
          <w:color w:val="auto"/>
          <w:sz w:val="21"/>
          <w:szCs w:val="15"/>
          <w:highlight w:val="none"/>
          <w:lang w:val="en-US"/>
        </w:rPr>
        <w:t>运营对项目实施影响而增加的项目施工费用，均包含在本项目总价内，投标人不得另行提出相关费用。</w:t>
      </w:r>
    </w:p>
    <w:p w14:paraId="234F993B">
      <w:pPr>
        <w:pStyle w:val="4"/>
        <w:rPr>
          <w:i w:val="0"/>
          <w:iCs w:val="0"/>
          <w:color w:val="auto"/>
          <w:sz w:val="24"/>
          <w:szCs w:val="21"/>
          <w:highlight w:val="none"/>
        </w:rPr>
      </w:pPr>
      <w:bookmarkStart w:id="19" w:name="_Toc5027"/>
      <w:r>
        <w:rPr>
          <w:rFonts w:hint="eastAsia"/>
          <w:i w:val="0"/>
          <w:iCs w:val="0"/>
          <w:color w:val="auto"/>
          <w:sz w:val="24"/>
          <w:szCs w:val="21"/>
          <w:highlight w:val="none"/>
        </w:rPr>
        <w:t>采用标准与规范</w:t>
      </w:r>
      <w:bookmarkEnd w:id="19"/>
    </w:p>
    <w:p w14:paraId="234F993C">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本次涉及的标准与规范如下：</w:t>
      </w:r>
    </w:p>
    <w:p w14:paraId="234F993D">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《中国城市轨道交通智慧城轨发展纲要》</w:t>
      </w:r>
    </w:p>
    <w:p w14:paraId="234F993E">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《工业企业信息化集成系统规范》(GB/T26335-2010)</w:t>
      </w:r>
    </w:p>
    <w:p w14:paraId="234F993F">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 计算机信息系统 安全保护等级划分准则》（GB 17859-1999）</w:t>
      </w:r>
    </w:p>
    <w:p w14:paraId="234F9940">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《信息安全技术 网络安全等级保护实施指南》（GB/T 25058-2019）</w:t>
      </w:r>
    </w:p>
    <w:p w14:paraId="234F9941">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《信息安全技术 网络安全等级保护定级指南》（GB/T 22240-2020）</w:t>
      </w:r>
    </w:p>
    <w:p w14:paraId="234F9942">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《信息安全技术 网络安全等级保护基本要求》（GB/T 22239-2019）</w:t>
      </w:r>
    </w:p>
    <w:p w14:paraId="234F9943">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《信息安全技术 信息系统通用安全技术要求》（GB/T 20271-2006）</w:t>
      </w:r>
    </w:p>
    <w:p w14:paraId="234F9944">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《信息安全技术 网络安全等级保护安全设计技术要求》（GB/T 25070-2019）</w:t>
      </w:r>
    </w:p>
    <w:p w14:paraId="234F9945">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《信息安全技术 网络安全等级保护测评要求》（GB/T 28448-2019）</w:t>
      </w:r>
    </w:p>
    <w:p w14:paraId="234F9946">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《信息安全技术 网络安全等级保护测评过程指南》（GB/T 28449-2018）</w:t>
      </w:r>
    </w:p>
    <w:p w14:paraId="234F9947">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《信息安全技术 信息系统安全管理要求》（GB/T 20269-2006）</w:t>
      </w:r>
    </w:p>
    <w:p w14:paraId="234F9948">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《工业控制系统信息安全》（GB/T 30976.1-2014）</w:t>
      </w:r>
    </w:p>
    <w:p w14:paraId="234F9949">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《工业控制系统信息安全防护指南》</w:t>
      </w:r>
    </w:p>
    <w:p w14:paraId="234F994A">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《工业互联网平台通用要求》</w:t>
      </w:r>
    </w:p>
    <w:p w14:paraId="234F994B">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《工业互联网平台测试验证》（AII/001-2019）</w:t>
      </w:r>
    </w:p>
    <w:p w14:paraId="234F994C">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《工业互联网标识解析二级节点技术要求》（AII/00 1 2021）</w:t>
      </w:r>
    </w:p>
    <w:p w14:paraId="234F994D">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《工业互联网标识解析二级节点测试规范》（T11/AII 003-2021）</w:t>
      </w:r>
    </w:p>
    <w:p w14:paraId="234F994E">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《工业互联网安全总体要求》（T11/AII 003—2018）</w:t>
      </w:r>
    </w:p>
    <w:p w14:paraId="234F994F">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《工业互联网导则设备智能化》（T11/AII 004—2017）</w:t>
      </w:r>
    </w:p>
    <w:p w14:paraId="234F9950">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《城市轨道交通云平台构建技术规范》 (T/CAMET 11002-2020)</w:t>
      </w:r>
    </w:p>
    <w:p w14:paraId="234F9951">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《城市轨道交通大数据平台技术规范》 (T/CAMET 11003-2020)</w:t>
      </w:r>
    </w:p>
    <w:p w14:paraId="234F9952">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《城市轨道交通云平台网络架构技术规范》 (T/CMET11004-2020)</w:t>
      </w:r>
    </w:p>
    <w:p w14:paraId="234F9953">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《城市轨道交通云平台网络安全技术规范》 (T/CAMET 11005-2020)</w:t>
      </w:r>
    </w:p>
    <w:p w14:paraId="234F9954">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《城市轨道交通线网运营指挥中心系统技术规范》(T/CAMET1100-62020)</w:t>
      </w:r>
    </w:p>
    <w:p w14:paraId="234F9955">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《智慧城市轨道交通信息技术架构及网络安全规范第一部分：总体需求》(T/CAMET 11001.1-2019)</w:t>
      </w:r>
    </w:p>
    <w:p w14:paraId="234F9956">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《智慧城市轨道交通信息技术架构及网络安全规范第二部分:技术架构》(T/CAMET 11001.2-2019)</w:t>
      </w:r>
    </w:p>
    <w:p w14:paraId="234F9957">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《智慧城市轨道交通信息技术架构及网络安全规范第三部分:网络安全》(T/CAMET 11001.3-2019)</w:t>
      </w:r>
    </w:p>
    <w:p w14:paraId="234F9958">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上述技术标准和规范如有不涉及之处或未能达到国际和国家最新标准时，应使系统符合最新版本的国际和国家标准、规范，并提供所采用的国际和国家标准、规范以及所采用版本的有关技术资料。</w:t>
      </w:r>
    </w:p>
    <w:p w14:paraId="234F9959">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使用上述以外的标准和规范时，应加以说明，并提交用于替代的标准或规范，明显的差异点要说明。当推荐的标准和规范等效于或优于本规格书的要求时，才能为</w:t>
      </w:r>
      <w:r>
        <w:rPr>
          <w:rFonts w:hint="eastAsia"/>
          <w:i w:val="0"/>
          <w:iCs w:val="0"/>
          <w:color w:val="auto"/>
          <w:sz w:val="21"/>
          <w:szCs w:val="15"/>
          <w:highlight w:val="none"/>
          <w:lang w:val="en-US" w:eastAsia="zh-CN"/>
        </w:rPr>
        <w:t>招标人</w:t>
      </w:r>
      <w:r>
        <w:rPr>
          <w:rFonts w:hint="eastAsia"/>
          <w:i w:val="0"/>
          <w:iCs w:val="0"/>
          <w:color w:val="auto"/>
          <w:sz w:val="21"/>
          <w:szCs w:val="15"/>
          <w:highlight w:val="none"/>
          <w:lang w:val="en-US"/>
        </w:rPr>
        <w:t>所接受。</w:t>
      </w:r>
    </w:p>
    <w:p w14:paraId="234F995A">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除非本文件中另作规定，本技术要求中均采用国际单位制（SI）度量所有产品，所有设备的设计和制造均应符合有关的ISO和IEC标准。</w:t>
      </w:r>
    </w:p>
    <w:p w14:paraId="234F995B">
      <w:pPr>
        <w:pStyle w:val="4"/>
        <w:rPr>
          <w:i w:val="0"/>
          <w:iCs w:val="0"/>
          <w:color w:val="auto"/>
          <w:sz w:val="24"/>
          <w:szCs w:val="21"/>
          <w:highlight w:val="none"/>
        </w:rPr>
      </w:pPr>
      <w:bookmarkStart w:id="20" w:name="_Toc25392"/>
      <w:r>
        <w:rPr>
          <w:rFonts w:hint="eastAsia"/>
          <w:i w:val="0"/>
          <w:iCs w:val="0"/>
          <w:color w:val="auto"/>
          <w:sz w:val="24"/>
          <w:szCs w:val="21"/>
          <w:highlight w:val="none"/>
        </w:rPr>
        <w:t>施工边界</w:t>
      </w:r>
      <w:bookmarkEnd w:id="20"/>
    </w:p>
    <w:p w14:paraId="234F995C">
      <w:pPr>
        <w:pStyle w:val="142"/>
        <w:ind w:firstLine="420"/>
        <w:rPr>
          <w:i w:val="0"/>
          <w:iCs w:val="0"/>
          <w:color w:val="auto"/>
          <w:sz w:val="21"/>
          <w:szCs w:val="15"/>
          <w:highlight w:val="none"/>
          <w:lang w:val="en-US"/>
        </w:rPr>
      </w:pPr>
      <w:r>
        <w:rPr>
          <w:rFonts w:hint="eastAsia"/>
          <w:i w:val="0"/>
          <w:iCs w:val="0"/>
          <w:color w:val="auto"/>
          <w:sz w:val="21"/>
          <w:szCs w:val="15"/>
          <w:highlight w:val="none"/>
          <w:lang w:val="en-US"/>
        </w:rPr>
        <w:t>投标人负责本合同范围内的所有机房装修改造、系统集成、机房设备安装、终端设备安装及其线缆线管敷设等工作。</w:t>
      </w:r>
    </w:p>
    <w:p w14:paraId="234F995D">
      <w:pPr>
        <w:pStyle w:val="4"/>
        <w:rPr>
          <w:i w:val="0"/>
          <w:iCs w:val="0"/>
          <w:color w:val="auto"/>
          <w:sz w:val="24"/>
          <w:szCs w:val="21"/>
          <w:highlight w:val="none"/>
        </w:rPr>
      </w:pPr>
      <w:bookmarkStart w:id="21" w:name="_Toc5372"/>
      <w:r>
        <w:rPr>
          <w:rFonts w:hint="eastAsia"/>
          <w:i w:val="0"/>
          <w:iCs w:val="0"/>
          <w:color w:val="auto"/>
          <w:sz w:val="24"/>
          <w:szCs w:val="21"/>
          <w:highlight w:val="none"/>
        </w:rPr>
        <w:t>环境气候条件</w:t>
      </w:r>
      <w:bookmarkEnd w:id="21"/>
    </w:p>
    <w:p w14:paraId="234F995E">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1、长沙市全年平均气温为17.2℃，最低月平均气温为4.4℃，最高月平均气温为34.5℃，极端最低气温为-18.1℃，极端最高气温为44℃。</w:t>
      </w:r>
    </w:p>
    <w:p w14:paraId="234F995F">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2、长沙市年平均降水量为1361.6mm，日最大降水量为357.4mm，最低月平均降水量为32.7mm，最高月平均降水量为227.8mm。</w:t>
      </w:r>
    </w:p>
    <w:p w14:paraId="234F9960">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3、长沙市大风日数风力大于8级，最多16日，最少4日，极大风速及风向：N27.9m/s，NXE27.9m/s，NW29.6m/s。</w:t>
      </w:r>
    </w:p>
    <w:p w14:paraId="234F9961">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4、长沙市为多雷区，年平均雷暴日为40～80天。供货商提供的设备，其技术参数应能保证可靠地运用于这些环境条件之中，供货商应保证提供的所有设备应能在规定的存储条件下，不开箱保质存储一年。另外，要求设备应具有避免空气中灰尘侵入的措施。</w:t>
      </w:r>
    </w:p>
    <w:p w14:paraId="234F9962">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5、投标人应根据长沙市的环境特点和气候条件，考虑系统设备的抗电磁干扰、防尘、防潮、防霉、防震、防辐射等性能，确保系统运行安全、可靠。</w:t>
      </w:r>
    </w:p>
    <w:p w14:paraId="234F9963">
      <w:pPr>
        <w:pStyle w:val="4"/>
        <w:rPr>
          <w:i w:val="0"/>
          <w:iCs w:val="0"/>
          <w:color w:val="auto"/>
          <w:sz w:val="24"/>
          <w:szCs w:val="21"/>
          <w:highlight w:val="none"/>
        </w:rPr>
      </w:pPr>
      <w:bookmarkStart w:id="22" w:name="_Toc93674730"/>
      <w:bookmarkStart w:id="23" w:name="_Toc24875"/>
      <w:r>
        <w:rPr>
          <w:rFonts w:hint="eastAsia"/>
          <w:i w:val="0"/>
          <w:iCs w:val="0"/>
          <w:color w:val="auto"/>
          <w:sz w:val="24"/>
          <w:szCs w:val="21"/>
          <w:highlight w:val="none"/>
        </w:rPr>
        <w:t>工作环境要求</w:t>
      </w:r>
      <w:bookmarkEnd w:id="22"/>
      <w:bookmarkEnd w:id="23"/>
    </w:p>
    <w:p w14:paraId="234F9964">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投标人所提供的设备、材料必须满足以下的工作环境要求，确保在其环境下正常工作。</w:t>
      </w:r>
    </w:p>
    <w:p w14:paraId="234F9965">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工作环境温度：-10℃至+60℃；日平均值不大于：+35℃</w:t>
      </w:r>
    </w:p>
    <w:p w14:paraId="234F9966">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储藏环境温度：-20℃至+80℃</w:t>
      </w:r>
    </w:p>
    <w:p w14:paraId="234F9967">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相对湿度：日平均值不超过95%（25℃），月平均值不超过90%（25℃），相对湿度应符合GB7251.1-2023及GB7251.2-2023标准。</w:t>
      </w:r>
    </w:p>
    <w:p w14:paraId="234F9968">
      <w:pPr>
        <w:pStyle w:val="4"/>
        <w:rPr>
          <w:i w:val="0"/>
          <w:iCs w:val="0"/>
          <w:color w:val="auto"/>
          <w:sz w:val="24"/>
          <w:szCs w:val="21"/>
          <w:highlight w:val="none"/>
        </w:rPr>
      </w:pPr>
      <w:bookmarkStart w:id="24" w:name="_Toc93674733"/>
      <w:bookmarkStart w:id="25" w:name="_Toc108242597"/>
      <w:bookmarkStart w:id="26" w:name="_Toc117846268"/>
      <w:bookmarkStart w:id="27" w:name="_Toc85528730"/>
      <w:bookmarkStart w:id="28" w:name="_Toc107813497"/>
      <w:bookmarkStart w:id="29" w:name="_Toc107807647"/>
      <w:bookmarkStart w:id="30" w:name="_Toc106561926"/>
      <w:bookmarkStart w:id="31" w:name="_Toc107809934"/>
      <w:bookmarkStart w:id="32" w:name="_Toc106620890"/>
      <w:bookmarkStart w:id="33" w:name="_Toc20242"/>
      <w:bookmarkStart w:id="34" w:name="_Toc107390277"/>
      <w:bookmarkStart w:id="35" w:name="_Toc106520808"/>
      <w:bookmarkStart w:id="36" w:name="_Toc44568497"/>
      <w:bookmarkStart w:id="37" w:name="_Toc43188168"/>
      <w:bookmarkStart w:id="38" w:name="_Toc44568426"/>
      <w:bookmarkStart w:id="39" w:name="_Toc43454789"/>
      <w:bookmarkStart w:id="40" w:name="_Toc44747901"/>
      <w:bookmarkStart w:id="41" w:name="_Toc95211963"/>
      <w:bookmarkStart w:id="42" w:name="_Toc43634175"/>
      <w:bookmarkStart w:id="43" w:name="_Toc43187945"/>
      <w:r>
        <w:rPr>
          <w:rFonts w:hint="eastAsia"/>
          <w:i w:val="0"/>
          <w:iCs w:val="0"/>
          <w:color w:val="auto"/>
          <w:sz w:val="24"/>
          <w:szCs w:val="21"/>
          <w:highlight w:val="none"/>
        </w:rPr>
        <w:t>地震烈度</w:t>
      </w:r>
      <w:bookmarkEnd w:id="24"/>
      <w:bookmarkEnd w:id="25"/>
      <w:bookmarkEnd w:id="26"/>
      <w:bookmarkEnd w:id="27"/>
      <w:bookmarkEnd w:id="28"/>
      <w:bookmarkEnd w:id="29"/>
      <w:bookmarkEnd w:id="30"/>
      <w:bookmarkEnd w:id="31"/>
      <w:bookmarkEnd w:id="32"/>
      <w:bookmarkEnd w:id="33"/>
      <w:bookmarkEnd w:id="34"/>
    </w:p>
    <w:p w14:paraId="234F9969">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按8度设防</w:t>
      </w:r>
      <w:bookmarkEnd w:id="35"/>
      <w:r>
        <w:rPr>
          <w:rFonts w:hint="eastAsia"/>
          <w:i w:val="0"/>
          <w:iCs w:val="0"/>
          <w:color w:val="auto"/>
          <w:sz w:val="21"/>
          <w:szCs w:val="15"/>
          <w:highlight w:val="none"/>
          <w:lang w:val="en-US"/>
        </w:rPr>
        <w:t>。</w:t>
      </w:r>
    </w:p>
    <w:p w14:paraId="234F996A">
      <w:pPr>
        <w:pStyle w:val="4"/>
        <w:rPr>
          <w:i w:val="0"/>
          <w:iCs w:val="0"/>
          <w:color w:val="auto"/>
          <w:sz w:val="24"/>
          <w:szCs w:val="21"/>
          <w:highlight w:val="none"/>
        </w:rPr>
      </w:pPr>
      <w:bookmarkStart w:id="44" w:name="_Toc107390278"/>
      <w:bookmarkStart w:id="45" w:name="_Toc107809935"/>
      <w:bookmarkStart w:id="46" w:name="_Toc106520809"/>
      <w:bookmarkStart w:id="47" w:name="_Toc117846269"/>
      <w:bookmarkStart w:id="48" w:name="_Toc85528731"/>
      <w:bookmarkStart w:id="49" w:name="_Toc107807648"/>
      <w:bookmarkStart w:id="50" w:name="_Toc93674734"/>
      <w:bookmarkStart w:id="51" w:name="_Toc106620891"/>
      <w:bookmarkStart w:id="52" w:name="_Toc26738"/>
      <w:bookmarkStart w:id="53" w:name="_Toc106561927"/>
      <w:bookmarkStart w:id="54" w:name="_Toc107813498"/>
      <w:bookmarkStart w:id="55" w:name="_Toc108242598"/>
      <w:r>
        <w:rPr>
          <w:rFonts w:hint="eastAsia"/>
          <w:i w:val="0"/>
          <w:iCs w:val="0"/>
          <w:color w:val="auto"/>
          <w:sz w:val="24"/>
          <w:szCs w:val="21"/>
          <w:highlight w:val="none"/>
        </w:rPr>
        <w:t>强电磁干扰环境</w:t>
      </w:r>
      <w:bookmarkEnd w:id="44"/>
      <w:bookmarkEnd w:id="45"/>
      <w:bookmarkEnd w:id="46"/>
      <w:bookmarkEnd w:id="47"/>
      <w:bookmarkEnd w:id="48"/>
      <w:bookmarkEnd w:id="49"/>
      <w:bookmarkEnd w:id="50"/>
      <w:bookmarkEnd w:id="51"/>
      <w:bookmarkEnd w:id="52"/>
      <w:bookmarkEnd w:id="53"/>
      <w:bookmarkEnd w:id="54"/>
      <w:bookmarkEnd w:id="55"/>
    </w:p>
    <w:p w14:paraId="234F996B">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投标人应充分考虑长沙市轨道交通强电磁干扰环境，在方案的设计和实施过程中应充分考虑系统及其设备、电线、电缆、光纤等方面的抗干扰能力和措施，并给予明确阐述。</w:t>
      </w:r>
      <w:bookmarkEnd w:id="36"/>
      <w:bookmarkEnd w:id="37"/>
      <w:bookmarkEnd w:id="38"/>
      <w:bookmarkEnd w:id="39"/>
      <w:bookmarkEnd w:id="40"/>
      <w:bookmarkEnd w:id="41"/>
      <w:bookmarkEnd w:id="42"/>
      <w:bookmarkEnd w:id="43"/>
    </w:p>
    <w:p w14:paraId="234F996C">
      <w:pPr>
        <w:pStyle w:val="4"/>
        <w:rPr>
          <w:i w:val="0"/>
          <w:iCs w:val="0"/>
          <w:color w:val="auto"/>
          <w:sz w:val="24"/>
          <w:szCs w:val="21"/>
          <w:highlight w:val="none"/>
          <w:lang w:val="zh-CN"/>
        </w:rPr>
      </w:pPr>
      <w:bookmarkStart w:id="56" w:name="_Toc93674735"/>
      <w:bookmarkStart w:id="57" w:name="_Toc89688607"/>
      <w:bookmarkStart w:id="58" w:name="_Toc9158"/>
      <w:r>
        <w:rPr>
          <w:rFonts w:hint="eastAsia"/>
          <w:i w:val="0"/>
          <w:iCs w:val="0"/>
          <w:color w:val="auto"/>
          <w:sz w:val="24"/>
          <w:szCs w:val="21"/>
          <w:highlight w:val="none"/>
          <w:lang w:val="zh-CN"/>
        </w:rPr>
        <w:t>用词说明</w:t>
      </w:r>
      <w:bookmarkEnd w:id="56"/>
      <w:bookmarkEnd w:id="57"/>
      <w:bookmarkEnd w:id="58"/>
    </w:p>
    <w:p w14:paraId="234F996D">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本招标文件中带有“须”的条款，表示该条款为强制性要求的条款。</w:t>
      </w:r>
    </w:p>
    <w:p w14:paraId="234F996E">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本招标文件中带有“应”的条款，表示该条款为严格性要求的条款，正常情况下均应遵循和满足。</w:t>
      </w:r>
    </w:p>
    <w:p w14:paraId="234F996F">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本招标文件中带有“可”或“宜”的条款，表示该条款为可选性要求的条款。</w:t>
      </w:r>
    </w:p>
    <w:p w14:paraId="234F9970">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本招标文件中字体为“黑体加粗部分”的条款内容，表示投标人必须着重注意且必须遵守的条款。</w:t>
      </w:r>
    </w:p>
    <w:p w14:paraId="234F9971">
      <w:pPr>
        <w:pStyle w:val="4"/>
        <w:rPr>
          <w:i w:val="0"/>
          <w:iCs w:val="0"/>
          <w:color w:val="auto"/>
          <w:sz w:val="24"/>
          <w:szCs w:val="21"/>
          <w:highlight w:val="none"/>
        </w:rPr>
      </w:pPr>
      <w:bookmarkStart w:id="59" w:name="_Toc93674736"/>
      <w:bookmarkStart w:id="60" w:name="_Toc2401"/>
      <w:bookmarkStart w:id="61" w:name="_Toc89688608"/>
      <w:r>
        <w:rPr>
          <w:rFonts w:hint="eastAsia"/>
          <w:i w:val="0"/>
          <w:iCs w:val="0"/>
          <w:color w:val="auto"/>
          <w:sz w:val="24"/>
          <w:szCs w:val="21"/>
          <w:highlight w:val="none"/>
        </w:rPr>
        <w:t>基本要求</w:t>
      </w:r>
      <w:bookmarkEnd w:id="59"/>
      <w:bookmarkEnd w:id="60"/>
      <w:bookmarkEnd w:id="61"/>
    </w:p>
    <w:p w14:paraId="234F9972">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投标人所提供的设备应是信誉可靠、技术先进的产品，并应提供相应的检验报告和质量认证证书。</w:t>
      </w:r>
    </w:p>
    <w:p w14:paraId="234F9973">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投标人提供的系统和设备应具有较强的抗干扰能力，适合轨道交通特殊环境的要求。</w:t>
      </w:r>
    </w:p>
    <w:p w14:paraId="234F9974">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招标文件中所涉及货物的品牌、型号均为参考条款，投标人可投与之同档次或更高档次的相应货物。</w:t>
      </w:r>
    </w:p>
    <w:p w14:paraId="234F9975">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本招标文件仅提出智慧地铁系统的最基本的技术要求，不应理解成全部要求，投标人应对招标文件进行完善和细化，并负责向招标人移交完整的、安全的、可靠的智慧地铁系统，保证满足本招标文件的基本要求和由用户确认的最终要求，并承诺提供满足</w:t>
      </w:r>
      <w:r>
        <w:rPr>
          <w:rFonts w:hint="eastAsia"/>
          <w:i w:val="0"/>
          <w:iCs w:val="0"/>
          <w:color w:val="auto"/>
          <w:sz w:val="21"/>
          <w:szCs w:val="15"/>
          <w:highlight w:val="none"/>
          <w:lang w:val="en-US" w:eastAsia="zh-CN"/>
        </w:rPr>
        <w:t>长沙市轨道交通</w:t>
      </w:r>
      <w:r>
        <w:rPr>
          <w:rFonts w:hint="eastAsia"/>
          <w:i w:val="0"/>
          <w:iCs w:val="0"/>
          <w:color w:val="auto"/>
          <w:sz w:val="21"/>
          <w:szCs w:val="15"/>
          <w:highlight w:val="none"/>
          <w:lang w:val="en-US"/>
        </w:rPr>
        <w:t>6号线智慧地铁系统技术要求的技术性、经济性和安全性最好的，功能齐全的高质量全新产品以及相应服务。</w:t>
      </w:r>
    </w:p>
    <w:p w14:paraId="234F9976">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本文所述技术要求，应视为保证涉及运行所需的最低要求，如有遗漏，投标人应予以补充，否则，一旦中标将认为投标人认同遗漏部分并免费提供。</w:t>
      </w:r>
    </w:p>
    <w:p w14:paraId="234F9977">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投标人与其他接口的所有技术协调工作应取得招标人的同意。如果发生争议，应由招标人裁决，并不得籍此要求增加费用或延长工期。</w:t>
      </w:r>
    </w:p>
    <w:p w14:paraId="234F9978">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必须对所提供的智慧地铁系统方面的一切专利费用和执照费及其他所办理的手续所产生的费用承担责任，并负责保护招标人的权益不受任何损害。一切由于文字、商标和技术专利侵权引起的法律裁决、诉讼和费用均与招标人无关。</w:t>
      </w:r>
    </w:p>
    <w:p w14:paraId="234F9979">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投标人应充分考虑因设计或现场条件所引起的缺陷和限制，所做的修改、补充费用不做调整的风险。</w:t>
      </w:r>
    </w:p>
    <w:p w14:paraId="234F997A">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投标人应在不增加投资的情况下满足</w:t>
      </w:r>
      <w:r>
        <w:rPr>
          <w:rFonts w:hint="eastAsia"/>
          <w:i w:val="0"/>
          <w:iCs w:val="0"/>
          <w:color w:val="auto"/>
          <w:sz w:val="21"/>
          <w:szCs w:val="15"/>
          <w:highlight w:val="none"/>
          <w:lang w:val="en-US" w:eastAsia="zh-CN"/>
        </w:rPr>
        <w:t>本项目招标范围内</w:t>
      </w:r>
      <w:r>
        <w:rPr>
          <w:rFonts w:hint="eastAsia"/>
          <w:i w:val="0"/>
          <w:iCs w:val="0"/>
          <w:color w:val="auto"/>
          <w:sz w:val="21"/>
          <w:szCs w:val="15"/>
          <w:highlight w:val="none"/>
          <w:lang w:val="en-US"/>
        </w:rPr>
        <w:t>运营方案的功能要求，各系统与智慧化接口的改造费用均应包含在本次投标报价内。</w:t>
      </w:r>
    </w:p>
    <w:p w14:paraId="234F997C">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招标人保留对所购设备数量、规格、型号、种类更变的权利。投标人中标后，若非质量等方面的特殊原因，不得随意更换供货厂家。从合同签订开始直至工程竣工验收，对于不满足本工程要求的设备，招标人有权要求投标人更换，投标人不得依此提出增加费用和延长工期等任何要求。</w:t>
      </w:r>
    </w:p>
    <w:p w14:paraId="234F997D">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在工程实施阶段，招标人有权根据工程的实际情况调整工程计划，投标人对此应具备迅速响应的能力，投标人不得依此提出增加费用要求。</w:t>
      </w:r>
    </w:p>
    <w:p w14:paraId="234F997E">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招标人对投标人图纸设计、产品质量的审查程序不会减轻投标人对其提供的智慧地铁整体设计所承担的责任，也不会减轻其确保设计符合本招标文件要求所承担的责任。</w:t>
      </w:r>
    </w:p>
    <w:p w14:paraId="234F997F">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在本工程实施阶段，招标人保留对工程范围进行局部适当的调整权利，投标人必须承诺不得提出价格调整。</w:t>
      </w:r>
    </w:p>
    <w:p w14:paraId="234F9980">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投标应提供的系统软件应能满足招标人及最终用户对房间名称、车站名称等的修改，投标人必须承诺不得提出价格调整。</w:t>
      </w:r>
    </w:p>
    <w:p w14:paraId="234F9981">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系统功能应满足招标人、设计院、最终用户的要求，系统软件应能根据最终用户的要求进行更改，且不得增加费用。</w:t>
      </w:r>
    </w:p>
    <w:p w14:paraId="234F9982">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设备及部件数量增减，设备单价费用不能更改。并且投标人应承诺配合设计单位进行深化设计，设备生产、供货、安装/安装指导、调试、验收、移交、培训等内容均满足本招标文件要求，相关费用已含在投标总价中。</w:t>
      </w:r>
    </w:p>
    <w:p w14:paraId="234F9983">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本文件中的软件、硬件等技术要求适用本文件中的所有章节，出现两者不一致时以高要求为准，尤其是硬件设备技术指标要求。</w:t>
      </w:r>
    </w:p>
    <w:p w14:paraId="234F9984">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在整个项目实施过程中，因投标人自身原因引发的各类事故、事件，由投标人承担一切责任和经济损失。</w:t>
      </w:r>
    </w:p>
    <w:p w14:paraId="234F9985">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投标文件中的合法文字应为中文，如有任何文件的原始资料为其它语言文字时，投标人需在原始文件后附经权威机构核准的中文翻译件。</w:t>
      </w:r>
    </w:p>
    <w:p w14:paraId="234F9986">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除非另有规定外，本文件要求均采用国际单位制。</w:t>
      </w:r>
    </w:p>
    <w:p w14:paraId="234F9987">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本文件的解释权属招标人。</w:t>
      </w:r>
    </w:p>
    <w:p w14:paraId="234F9988">
      <w:pPr>
        <w:pStyle w:val="4"/>
        <w:rPr>
          <w:i w:val="0"/>
          <w:iCs w:val="0"/>
          <w:color w:val="auto"/>
          <w:sz w:val="24"/>
          <w:szCs w:val="21"/>
          <w:highlight w:val="none"/>
        </w:rPr>
      </w:pPr>
      <w:bookmarkStart w:id="62" w:name="_Toc18427"/>
      <w:r>
        <w:rPr>
          <w:rFonts w:hint="eastAsia"/>
          <w:i w:val="0"/>
          <w:iCs w:val="0"/>
          <w:color w:val="auto"/>
          <w:sz w:val="24"/>
          <w:szCs w:val="21"/>
          <w:highlight w:val="none"/>
        </w:rPr>
        <w:t>符号说明和缩写定义</w:t>
      </w:r>
      <w:bookmarkEnd w:id="62"/>
    </w:p>
    <w:tbl>
      <w:tblPr>
        <w:tblStyle w:val="88"/>
        <w:tblW w:w="837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70"/>
        <w:gridCol w:w="4296"/>
        <w:gridCol w:w="2910"/>
      </w:tblGrid>
      <w:tr w14:paraId="234F99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89">
            <w:pPr>
              <w:pStyle w:val="552"/>
              <w:rPr>
                <w:rFonts w:hint="eastAsia"/>
                <w:i w:val="0"/>
                <w:iCs w:val="0"/>
                <w:color w:val="auto"/>
                <w:highlight w:val="none"/>
              </w:rPr>
            </w:pPr>
            <w:r>
              <w:rPr>
                <w:i w:val="0"/>
                <w:iCs w:val="0"/>
                <w:color w:val="auto"/>
                <w:highlight w:val="none"/>
              </w:rPr>
              <w:t>缩写词</w:t>
            </w:r>
          </w:p>
        </w:tc>
        <w:tc>
          <w:tcPr>
            <w:tcW w:w="4296" w:type="dxa"/>
            <w:vAlign w:val="center"/>
          </w:tcPr>
          <w:p w14:paraId="234F998A">
            <w:pPr>
              <w:pStyle w:val="552"/>
              <w:rPr>
                <w:rFonts w:hint="eastAsia"/>
                <w:i w:val="0"/>
                <w:iCs w:val="0"/>
                <w:color w:val="auto"/>
                <w:highlight w:val="none"/>
              </w:rPr>
            </w:pPr>
            <w:r>
              <w:rPr>
                <w:i w:val="0"/>
                <w:iCs w:val="0"/>
                <w:color w:val="auto"/>
                <w:highlight w:val="none"/>
              </w:rPr>
              <w:t>英文解释</w:t>
            </w:r>
          </w:p>
        </w:tc>
        <w:tc>
          <w:tcPr>
            <w:tcW w:w="2910" w:type="dxa"/>
            <w:vAlign w:val="center"/>
          </w:tcPr>
          <w:p w14:paraId="234F998B">
            <w:pPr>
              <w:pStyle w:val="552"/>
              <w:rPr>
                <w:rFonts w:hint="eastAsia"/>
                <w:i w:val="0"/>
                <w:iCs w:val="0"/>
                <w:color w:val="auto"/>
                <w:highlight w:val="none"/>
              </w:rPr>
            </w:pPr>
            <w:r>
              <w:rPr>
                <w:i w:val="0"/>
                <w:iCs w:val="0"/>
                <w:color w:val="auto"/>
                <w:highlight w:val="none"/>
              </w:rPr>
              <w:t>中文解释</w:t>
            </w:r>
          </w:p>
        </w:tc>
      </w:tr>
      <w:tr w14:paraId="234F99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8D">
            <w:pPr>
              <w:pStyle w:val="552"/>
              <w:rPr>
                <w:rFonts w:hint="eastAsia"/>
                <w:i w:val="0"/>
                <w:iCs w:val="0"/>
                <w:color w:val="auto"/>
                <w:highlight w:val="none"/>
              </w:rPr>
            </w:pPr>
            <w:r>
              <w:rPr>
                <w:i w:val="0"/>
                <w:iCs w:val="0"/>
                <w:color w:val="auto"/>
                <w:highlight w:val="none"/>
              </w:rPr>
              <w:t>AFC</w:t>
            </w:r>
          </w:p>
        </w:tc>
        <w:tc>
          <w:tcPr>
            <w:tcW w:w="4296" w:type="dxa"/>
            <w:vAlign w:val="center"/>
          </w:tcPr>
          <w:p w14:paraId="234F998E">
            <w:pPr>
              <w:pStyle w:val="552"/>
              <w:rPr>
                <w:rFonts w:hint="eastAsia"/>
                <w:i w:val="0"/>
                <w:iCs w:val="0"/>
                <w:color w:val="auto"/>
                <w:highlight w:val="none"/>
              </w:rPr>
            </w:pPr>
            <w:r>
              <w:rPr>
                <w:i w:val="0"/>
                <w:iCs w:val="0"/>
                <w:color w:val="auto"/>
                <w:highlight w:val="none"/>
              </w:rPr>
              <w:t>Automatic Fare Collection</w:t>
            </w:r>
          </w:p>
        </w:tc>
        <w:tc>
          <w:tcPr>
            <w:tcW w:w="2910" w:type="dxa"/>
            <w:vAlign w:val="center"/>
          </w:tcPr>
          <w:p w14:paraId="234F998F">
            <w:pPr>
              <w:pStyle w:val="552"/>
              <w:rPr>
                <w:rFonts w:hint="eastAsia"/>
                <w:i w:val="0"/>
                <w:iCs w:val="0"/>
                <w:color w:val="auto"/>
                <w:highlight w:val="none"/>
              </w:rPr>
            </w:pPr>
            <w:r>
              <w:rPr>
                <w:i w:val="0"/>
                <w:iCs w:val="0"/>
                <w:color w:val="auto"/>
                <w:highlight w:val="none"/>
              </w:rPr>
              <w:t>自动售检票</w:t>
            </w:r>
          </w:p>
        </w:tc>
      </w:tr>
      <w:tr w14:paraId="234F99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91">
            <w:pPr>
              <w:pStyle w:val="552"/>
              <w:rPr>
                <w:rFonts w:hint="eastAsia"/>
                <w:i w:val="0"/>
                <w:iCs w:val="0"/>
                <w:color w:val="auto"/>
                <w:highlight w:val="none"/>
              </w:rPr>
            </w:pPr>
            <w:r>
              <w:rPr>
                <w:rFonts w:hint="eastAsia"/>
                <w:i w:val="0"/>
                <w:iCs w:val="0"/>
                <w:color w:val="auto"/>
                <w:highlight w:val="none"/>
              </w:rPr>
              <w:t>ACC</w:t>
            </w:r>
          </w:p>
        </w:tc>
        <w:tc>
          <w:tcPr>
            <w:tcW w:w="4296" w:type="dxa"/>
            <w:vAlign w:val="center"/>
          </w:tcPr>
          <w:p w14:paraId="234F9992">
            <w:pPr>
              <w:pStyle w:val="552"/>
              <w:rPr>
                <w:rFonts w:hint="eastAsia"/>
                <w:i w:val="0"/>
                <w:iCs w:val="0"/>
                <w:color w:val="auto"/>
                <w:highlight w:val="none"/>
              </w:rPr>
            </w:pPr>
            <w:r>
              <w:rPr>
                <w:rFonts w:hint="eastAsia"/>
                <w:i w:val="0"/>
                <w:iCs w:val="0"/>
                <w:color w:val="auto"/>
                <w:highlight w:val="none"/>
              </w:rPr>
              <w:t>AFC Clearing Center</w:t>
            </w:r>
          </w:p>
        </w:tc>
        <w:tc>
          <w:tcPr>
            <w:tcW w:w="2910" w:type="dxa"/>
            <w:vAlign w:val="center"/>
          </w:tcPr>
          <w:p w14:paraId="234F9993">
            <w:pPr>
              <w:pStyle w:val="552"/>
              <w:rPr>
                <w:rFonts w:hint="eastAsia"/>
                <w:i w:val="0"/>
                <w:iCs w:val="0"/>
                <w:color w:val="auto"/>
                <w:highlight w:val="none"/>
              </w:rPr>
            </w:pPr>
            <w:r>
              <w:rPr>
                <w:rFonts w:hint="eastAsia"/>
                <w:i w:val="0"/>
                <w:iCs w:val="0"/>
                <w:color w:val="auto"/>
                <w:highlight w:val="none"/>
              </w:rPr>
              <w:t>清分中心系统</w:t>
            </w:r>
          </w:p>
        </w:tc>
      </w:tr>
      <w:tr w14:paraId="234F99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95">
            <w:pPr>
              <w:pStyle w:val="552"/>
              <w:rPr>
                <w:rFonts w:hint="eastAsia"/>
                <w:i w:val="0"/>
                <w:iCs w:val="0"/>
                <w:color w:val="auto"/>
                <w:highlight w:val="none"/>
              </w:rPr>
            </w:pPr>
            <w:r>
              <w:rPr>
                <w:rFonts w:hint="eastAsia"/>
                <w:i w:val="0"/>
                <w:iCs w:val="0"/>
                <w:color w:val="auto"/>
                <w:highlight w:val="none"/>
              </w:rPr>
              <w:t>ITP</w:t>
            </w:r>
          </w:p>
        </w:tc>
        <w:tc>
          <w:tcPr>
            <w:tcW w:w="4296" w:type="dxa"/>
            <w:vAlign w:val="center"/>
          </w:tcPr>
          <w:p w14:paraId="234F9996">
            <w:pPr>
              <w:pStyle w:val="552"/>
              <w:rPr>
                <w:rFonts w:hint="eastAsia"/>
                <w:i w:val="0"/>
                <w:iCs w:val="0"/>
                <w:color w:val="auto"/>
                <w:highlight w:val="none"/>
              </w:rPr>
            </w:pPr>
            <w:r>
              <w:rPr>
                <w:rFonts w:hint="eastAsia"/>
                <w:i w:val="0"/>
                <w:iCs w:val="0"/>
                <w:color w:val="auto"/>
                <w:highlight w:val="none"/>
              </w:rPr>
              <w:t>Internet Ticket Platform</w:t>
            </w:r>
          </w:p>
        </w:tc>
        <w:tc>
          <w:tcPr>
            <w:tcW w:w="2910" w:type="dxa"/>
            <w:vAlign w:val="center"/>
          </w:tcPr>
          <w:p w14:paraId="234F9997">
            <w:pPr>
              <w:pStyle w:val="552"/>
              <w:rPr>
                <w:rFonts w:hint="eastAsia"/>
                <w:i w:val="0"/>
                <w:iCs w:val="0"/>
                <w:color w:val="auto"/>
                <w:highlight w:val="none"/>
              </w:rPr>
            </w:pPr>
            <w:r>
              <w:rPr>
                <w:rFonts w:hint="eastAsia"/>
                <w:i w:val="0"/>
                <w:iCs w:val="0"/>
                <w:color w:val="auto"/>
                <w:highlight w:val="none"/>
              </w:rPr>
              <w:t>互联网售检票平台</w:t>
            </w:r>
          </w:p>
        </w:tc>
      </w:tr>
      <w:tr w14:paraId="234F99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99">
            <w:pPr>
              <w:pStyle w:val="552"/>
              <w:rPr>
                <w:rFonts w:hint="eastAsia"/>
                <w:i w:val="0"/>
                <w:iCs w:val="0"/>
                <w:color w:val="auto"/>
                <w:highlight w:val="none"/>
              </w:rPr>
            </w:pPr>
            <w:r>
              <w:rPr>
                <w:i w:val="0"/>
                <w:iCs w:val="0"/>
                <w:color w:val="auto"/>
                <w:highlight w:val="none"/>
              </w:rPr>
              <w:t>API</w:t>
            </w:r>
          </w:p>
        </w:tc>
        <w:tc>
          <w:tcPr>
            <w:tcW w:w="4296" w:type="dxa"/>
            <w:vAlign w:val="center"/>
          </w:tcPr>
          <w:p w14:paraId="234F999A">
            <w:pPr>
              <w:pStyle w:val="552"/>
              <w:rPr>
                <w:rFonts w:hint="eastAsia"/>
                <w:i w:val="0"/>
                <w:iCs w:val="0"/>
                <w:color w:val="auto"/>
                <w:highlight w:val="none"/>
              </w:rPr>
            </w:pPr>
            <w:r>
              <w:rPr>
                <w:i w:val="0"/>
                <w:iCs w:val="0"/>
                <w:color w:val="auto"/>
                <w:highlight w:val="none"/>
              </w:rPr>
              <w:t xml:space="preserve">Application Program Interface </w:t>
            </w:r>
          </w:p>
        </w:tc>
        <w:tc>
          <w:tcPr>
            <w:tcW w:w="2910" w:type="dxa"/>
            <w:vAlign w:val="center"/>
          </w:tcPr>
          <w:p w14:paraId="234F999B">
            <w:pPr>
              <w:pStyle w:val="552"/>
              <w:rPr>
                <w:rFonts w:hint="eastAsia"/>
                <w:i w:val="0"/>
                <w:iCs w:val="0"/>
                <w:color w:val="auto"/>
                <w:highlight w:val="none"/>
              </w:rPr>
            </w:pPr>
            <w:r>
              <w:rPr>
                <w:i w:val="0"/>
                <w:iCs w:val="0"/>
                <w:color w:val="auto"/>
                <w:highlight w:val="none"/>
              </w:rPr>
              <w:fldChar w:fldCharType="begin"/>
            </w:r>
            <w:r>
              <w:rPr>
                <w:i w:val="0"/>
                <w:iCs w:val="0"/>
                <w:color w:val="auto"/>
                <w:highlight w:val="none"/>
              </w:rPr>
              <w:instrText xml:space="preserve"> HYPERLINK "https://baike.baidu.com/item/%E5%BA%94%E7%94%A8%E7%A8%8B%E5%BA%8F%E7%BC%96%E7%A8%8B%E6%8E%A5%E5%8F%A3" \t "_blank" </w:instrText>
            </w:r>
            <w:r>
              <w:rPr>
                <w:i w:val="0"/>
                <w:iCs w:val="0"/>
                <w:color w:val="auto"/>
                <w:highlight w:val="none"/>
              </w:rPr>
              <w:fldChar w:fldCharType="separate"/>
            </w:r>
            <w:r>
              <w:rPr>
                <w:i w:val="0"/>
                <w:iCs w:val="0"/>
                <w:color w:val="auto"/>
                <w:highlight w:val="none"/>
              </w:rPr>
              <w:t>应用程序编程接口</w:t>
            </w:r>
            <w:r>
              <w:rPr>
                <w:i w:val="0"/>
                <w:iCs w:val="0"/>
                <w:color w:val="auto"/>
                <w:highlight w:val="none"/>
              </w:rPr>
              <w:fldChar w:fldCharType="end"/>
            </w:r>
          </w:p>
        </w:tc>
      </w:tr>
      <w:tr w14:paraId="234F99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9D">
            <w:pPr>
              <w:pStyle w:val="552"/>
              <w:rPr>
                <w:rFonts w:hint="eastAsia"/>
                <w:i w:val="0"/>
                <w:iCs w:val="0"/>
                <w:color w:val="auto"/>
                <w:highlight w:val="none"/>
              </w:rPr>
            </w:pPr>
            <w:r>
              <w:rPr>
                <w:i w:val="0"/>
                <w:iCs w:val="0"/>
                <w:color w:val="auto"/>
                <w:highlight w:val="none"/>
              </w:rPr>
              <w:t>BOM</w:t>
            </w:r>
          </w:p>
        </w:tc>
        <w:tc>
          <w:tcPr>
            <w:tcW w:w="4296" w:type="dxa"/>
            <w:vAlign w:val="center"/>
          </w:tcPr>
          <w:p w14:paraId="234F999E">
            <w:pPr>
              <w:pStyle w:val="552"/>
              <w:rPr>
                <w:rFonts w:hint="eastAsia"/>
                <w:i w:val="0"/>
                <w:iCs w:val="0"/>
                <w:color w:val="auto"/>
                <w:highlight w:val="none"/>
              </w:rPr>
            </w:pPr>
            <w:r>
              <w:rPr>
                <w:i w:val="0"/>
                <w:iCs w:val="0"/>
                <w:color w:val="auto"/>
                <w:highlight w:val="none"/>
              </w:rPr>
              <w:t>Booking Office Machine</w:t>
            </w:r>
          </w:p>
        </w:tc>
        <w:tc>
          <w:tcPr>
            <w:tcW w:w="2910" w:type="dxa"/>
            <w:vAlign w:val="center"/>
          </w:tcPr>
          <w:p w14:paraId="234F999F">
            <w:pPr>
              <w:pStyle w:val="552"/>
              <w:rPr>
                <w:rFonts w:hint="eastAsia"/>
                <w:i w:val="0"/>
                <w:iCs w:val="0"/>
                <w:color w:val="auto"/>
                <w:highlight w:val="none"/>
              </w:rPr>
            </w:pPr>
            <w:r>
              <w:rPr>
                <w:i w:val="0"/>
                <w:iCs w:val="0"/>
                <w:color w:val="auto"/>
                <w:highlight w:val="none"/>
              </w:rPr>
              <w:t>票房售票机</w:t>
            </w:r>
          </w:p>
        </w:tc>
      </w:tr>
      <w:tr w14:paraId="234F99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A1">
            <w:pPr>
              <w:pStyle w:val="552"/>
              <w:rPr>
                <w:rFonts w:hint="eastAsia"/>
                <w:i w:val="0"/>
                <w:iCs w:val="0"/>
                <w:color w:val="auto"/>
                <w:highlight w:val="none"/>
              </w:rPr>
            </w:pPr>
            <w:r>
              <w:rPr>
                <w:i w:val="0"/>
                <w:iCs w:val="0"/>
                <w:color w:val="auto"/>
                <w:highlight w:val="none"/>
              </w:rPr>
              <w:t>ECU</w:t>
            </w:r>
          </w:p>
        </w:tc>
        <w:tc>
          <w:tcPr>
            <w:tcW w:w="4296" w:type="dxa"/>
            <w:vAlign w:val="center"/>
          </w:tcPr>
          <w:p w14:paraId="234F99A2">
            <w:pPr>
              <w:pStyle w:val="552"/>
              <w:rPr>
                <w:rFonts w:hint="eastAsia"/>
                <w:i w:val="0"/>
                <w:iCs w:val="0"/>
                <w:color w:val="auto"/>
                <w:highlight w:val="none"/>
              </w:rPr>
            </w:pPr>
            <w:r>
              <w:rPr>
                <w:i w:val="0"/>
                <w:iCs w:val="0"/>
                <w:color w:val="auto"/>
                <w:highlight w:val="none"/>
              </w:rPr>
              <w:t>Electronic Control Unit</w:t>
            </w:r>
          </w:p>
        </w:tc>
        <w:tc>
          <w:tcPr>
            <w:tcW w:w="2910" w:type="dxa"/>
            <w:vAlign w:val="center"/>
          </w:tcPr>
          <w:p w14:paraId="234F99A3">
            <w:pPr>
              <w:pStyle w:val="552"/>
              <w:rPr>
                <w:rFonts w:hint="eastAsia"/>
                <w:i w:val="0"/>
                <w:iCs w:val="0"/>
                <w:color w:val="auto"/>
                <w:highlight w:val="none"/>
              </w:rPr>
            </w:pPr>
            <w:r>
              <w:rPr>
                <w:i w:val="0"/>
                <w:iCs w:val="0"/>
                <w:color w:val="auto"/>
                <w:highlight w:val="none"/>
              </w:rPr>
              <w:t>电子控制单元/主控单元</w:t>
            </w:r>
          </w:p>
        </w:tc>
      </w:tr>
      <w:tr w14:paraId="234F9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A5">
            <w:pPr>
              <w:pStyle w:val="552"/>
              <w:rPr>
                <w:rFonts w:hint="eastAsia"/>
                <w:i w:val="0"/>
                <w:iCs w:val="0"/>
                <w:color w:val="auto"/>
                <w:highlight w:val="none"/>
              </w:rPr>
            </w:pPr>
            <w:r>
              <w:rPr>
                <w:rFonts w:hint="eastAsia"/>
                <w:i w:val="0"/>
                <w:iCs w:val="0"/>
                <w:color w:val="auto"/>
                <w:highlight w:val="none"/>
              </w:rPr>
              <w:t>EIC</w:t>
            </w:r>
          </w:p>
        </w:tc>
        <w:tc>
          <w:tcPr>
            <w:tcW w:w="4296" w:type="dxa"/>
            <w:vAlign w:val="center"/>
          </w:tcPr>
          <w:p w14:paraId="234F99A6">
            <w:pPr>
              <w:pStyle w:val="552"/>
              <w:rPr>
                <w:rFonts w:hint="eastAsia"/>
                <w:i w:val="0"/>
                <w:iCs w:val="0"/>
                <w:color w:val="auto"/>
                <w:highlight w:val="none"/>
              </w:rPr>
            </w:pPr>
            <w:r>
              <w:rPr>
                <w:i w:val="0"/>
                <w:iCs w:val="0"/>
                <w:color w:val="auto"/>
                <w:highlight w:val="none"/>
              </w:rPr>
              <w:t>Electronic invoice system</w:t>
            </w:r>
          </w:p>
        </w:tc>
        <w:tc>
          <w:tcPr>
            <w:tcW w:w="2910" w:type="dxa"/>
            <w:vAlign w:val="center"/>
          </w:tcPr>
          <w:p w14:paraId="234F99A7">
            <w:pPr>
              <w:pStyle w:val="552"/>
              <w:rPr>
                <w:rFonts w:hint="eastAsia"/>
                <w:i w:val="0"/>
                <w:iCs w:val="0"/>
                <w:color w:val="auto"/>
                <w:highlight w:val="none"/>
              </w:rPr>
            </w:pPr>
            <w:r>
              <w:rPr>
                <w:rFonts w:hint="eastAsia"/>
                <w:i w:val="0"/>
                <w:iCs w:val="0"/>
                <w:color w:val="auto"/>
                <w:highlight w:val="none"/>
              </w:rPr>
              <w:t>电子发票系统</w:t>
            </w:r>
          </w:p>
        </w:tc>
      </w:tr>
      <w:tr w14:paraId="234F99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A9">
            <w:pPr>
              <w:pStyle w:val="552"/>
              <w:rPr>
                <w:rFonts w:hint="eastAsia"/>
                <w:i w:val="0"/>
                <w:iCs w:val="0"/>
                <w:color w:val="auto"/>
                <w:highlight w:val="none"/>
              </w:rPr>
            </w:pPr>
            <w:r>
              <w:rPr>
                <w:i w:val="0"/>
                <w:iCs w:val="0"/>
                <w:color w:val="auto"/>
                <w:highlight w:val="none"/>
              </w:rPr>
              <w:t>EMC</w:t>
            </w:r>
          </w:p>
        </w:tc>
        <w:tc>
          <w:tcPr>
            <w:tcW w:w="4296" w:type="dxa"/>
            <w:vAlign w:val="center"/>
          </w:tcPr>
          <w:p w14:paraId="234F99AA">
            <w:pPr>
              <w:pStyle w:val="552"/>
              <w:rPr>
                <w:rFonts w:hint="eastAsia"/>
                <w:i w:val="0"/>
                <w:iCs w:val="0"/>
                <w:color w:val="auto"/>
                <w:highlight w:val="none"/>
              </w:rPr>
            </w:pPr>
            <w:r>
              <w:rPr>
                <w:i w:val="0"/>
                <w:iCs w:val="0"/>
                <w:color w:val="auto"/>
                <w:highlight w:val="none"/>
              </w:rPr>
              <w:t>Electro Magnetic Compatibility</w:t>
            </w:r>
          </w:p>
        </w:tc>
        <w:tc>
          <w:tcPr>
            <w:tcW w:w="2910" w:type="dxa"/>
            <w:vAlign w:val="center"/>
          </w:tcPr>
          <w:p w14:paraId="234F99AB">
            <w:pPr>
              <w:pStyle w:val="552"/>
              <w:rPr>
                <w:rFonts w:hint="eastAsia"/>
                <w:i w:val="0"/>
                <w:iCs w:val="0"/>
                <w:color w:val="auto"/>
                <w:highlight w:val="none"/>
              </w:rPr>
            </w:pPr>
            <w:r>
              <w:rPr>
                <w:i w:val="0"/>
                <w:iCs w:val="0"/>
                <w:color w:val="auto"/>
                <w:highlight w:val="none"/>
              </w:rPr>
              <w:t>电磁兼容性</w:t>
            </w:r>
          </w:p>
        </w:tc>
      </w:tr>
      <w:tr w14:paraId="234F99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AD">
            <w:pPr>
              <w:pStyle w:val="552"/>
              <w:rPr>
                <w:rFonts w:hint="eastAsia"/>
                <w:i w:val="0"/>
                <w:iCs w:val="0"/>
                <w:color w:val="auto"/>
                <w:highlight w:val="none"/>
              </w:rPr>
            </w:pPr>
            <w:r>
              <w:rPr>
                <w:rFonts w:hint="eastAsia"/>
                <w:i w:val="0"/>
                <w:iCs w:val="0"/>
                <w:color w:val="auto"/>
                <w:highlight w:val="none"/>
              </w:rPr>
              <w:t>ICM</w:t>
            </w:r>
          </w:p>
        </w:tc>
        <w:tc>
          <w:tcPr>
            <w:tcW w:w="4296" w:type="dxa"/>
            <w:vAlign w:val="center"/>
          </w:tcPr>
          <w:p w14:paraId="234F99AE">
            <w:pPr>
              <w:pStyle w:val="552"/>
              <w:rPr>
                <w:rFonts w:hint="eastAsia"/>
                <w:i w:val="0"/>
                <w:iCs w:val="0"/>
                <w:color w:val="auto"/>
                <w:highlight w:val="none"/>
              </w:rPr>
            </w:pPr>
            <w:r>
              <w:rPr>
                <w:i w:val="0"/>
                <w:iCs w:val="0"/>
                <w:color w:val="auto"/>
                <w:highlight w:val="none"/>
              </w:rPr>
              <w:t xml:space="preserve">Intelligent consulting machine </w:t>
            </w:r>
          </w:p>
        </w:tc>
        <w:tc>
          <w:tcPr>
            <w:tcW w:w="2910" w:type="dxa"/>
            <w:vAlign w:val="center"/>
          </w:tcPr>
          <w:p w14:paraId="234F99AF">
            <w:pPr>
              <w:pStyle w:val="552"/>
              <w:rPr>
                <w:rFonts w:hint="eastAsia"/>
                <w:i w:val="0"/>
                <w:iCs w:val="0"/>
                <w:color w:val="auto"/>
                <w:highlight w:val="none"/>
              </w:rPr>
            </w:pPr>
            <w:r>
              <w:rPr>
                <w:rFonts w:hint="eastAsia"/>
                <w:i w:val="0"/>
                <w:iCs w:val="0"/>
                <w:color w:val="auto"/>
                <w:highlight w:val="none"/>
              </w:rPr>
              <w:t>智能咨询终端</w:t>
            </w:r>
          </w:p>
        </w:tc>
      </w:tr>
      <w:tr w14:paraId="234F9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B1">
            <w:pPr>
              <w:pStyle w:val="552"/>
              <w:rPr>
                <w:rFonts w:hint="eastAsia"/>
                <w:i w:val="0"/>
                <w:iCs w:val="0"/>
                <w:color w:val="auto"/>
                <w:highlight w:val="none"/>
              </w:rPr>
            </w:pPr>
            <w:r>
              <w:rPr>
                <w:i w:val="0"/>
                <w:iCs w:val="0"/>
                <w:color w:val="auto"/>
                <w:highlight w:val="none"/>
              </w:rPr>
              <w:t>ICSS</w:t>
            </w:r>
          </w:p>
        </w:tc>
        <w:tc>
          <w:tcPr>
            <w:tcW w:w="4296" w:type="dxa"/>
            <w:vAlign w:val="center"/>
          </w:tcPr>
          <w:p w14:paraId="234F99B2">
            <w:pPr>
              <w:pStyle w:val="552"/>
              <w:rPr>
                <w:rFonts w:hint="eastAsia"/>
                <w:i w:val="0"/>
                <w:iCs w:val="0"/>
                <w:color w:val="auto"/>
                <w:highlight w:val="none"/>
              </w:rPr>
            </w:pPr>
            <w:r>
              <w:rPr>
                <w:i w:val="0"/>
                <w:iCs w:val="0"/>
                <w:color w:val="auto"/>
                <w:highlight w:val="none"/>
              </w:rPr>
              <w:t>Intelligent customer service system</w:t>
            </w:r>
          </w:p>
        </w:tc>
        <w:tc>
          <w:tcPr>
            <w:tcW w:w="2910" w:type="dxa"/>
            <w:vAlign w:val="center"/>
          </w:tcPr>
          <w:p w14:paraId="234F99B3">
            <w:pPr>
              <w:pStyle w:val="552"/>
              <w:rPr>
                <w:rFonts w:hint="eastAsia"/>
                <w:i w:val="0"/>
                <w:iCs w:val="0"/>
                <w:color w:val="auto"/>
                <w:highlight w:val="none"/>
              </w:rPr>
            </w:pPr>
            <w:r>
              <w:rPr>
                <w:i w:val="0"/>
                <w:iCs w:val="0"/>
                <w:color w:val="auto"/>
                <w:highlight w:val="none"/>
              </w:rPr>
              <w:t>智能客服系统</w:t>
            </w:r>
          </w:p>
        </w:tc>
      </w:tr>
      <w:tr w14:paraId="234F99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B5">
            <w:pPr>
              <w:pStyle w:val="552"/>
              <w:rPr>
                <w:rFonts w:hint="eastAsia"/>
                <w:i w:val="0"/>
                <w:iCs w:val="0"/>
                <w:color w:val="auto"/>
                <w:highlight w:val="none"/>
              </w:rPr>
            </w:pPr>
            <w:r>
              <w:rPr>
                <w:i w:val="0"/>
                <w:iCs w:val="0"/>
                <w:color w:val="auto"/>
                <w:highlight w:val="none"/>
              </w:rPr>
              <w:t>ISCS</w:t>
            </w:r>
          </w:p>
        </w:tc>
        <w:tc>
          <w:tcPr>
            <w:tcW w:w="4296" w:type="dxa"/>
            <w:vAlign w:val="center"/>
          </w:tcPr>
          <w:p w14:paraId="234F99B6">
            <w:pPr>
              <w:pStyle w:val="552"/>
              <w:rPr>
                <w:rFonts w:hint="eastAsia"/>
                <w:i w:val="0"/>
                <w:iCs w:val="0"/>
                <w:color w:val="auto"/>
                <w:highlight w:val="none"/>
              </w:rPr>
            </w:pPr>
            <w:r>
              <w:rPr>
                <w:i w:val="0"/>
                <w:iCs w:val="0"/>
                <w:color w:val="auto"/>
                <w:highlight w:val="none"/>
              </w:rPr>
              <w:t>Integrated Synthesize Control System</w:t>
            </w:r>
          </w:p>
        </w:tc>
        <w:tc>
          <w:tcPr>
            <w:tcW w:w="2910" w:type="dxa"/>
            <w:vAlign w:val="center"/>
          </w:tcPr>
          <w:p w14:paraId="234F99B7">
            <w:pPr>
              <w:pStyle w:val="552"/>
              <w:rPr>
                <w:rFonts w:hint="eastAsia"/>
                <w:i w:val="0"/>
                <w:iCs w:val="0"/>
                <w:color w:val="auto"/>
                <w:highlight w:val="none"/>
              </w:rPr>
            </w:pPr>
            <w:r>
              <w:rPr>
                <w:i w:val="0"/>
                <w:iCs w:val="0"/>
                <w:color w:val="auto"/>
                <w:highlight w:val="none"/>
              </w:rPr>
              <w:t>综合监控系统</w:t>
            </w:r>
          </w:p>
        </w:tc>
      </w:tr>
      <w:tr w14:paraId="234F99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B9">
            <w:pPr>
              <w:pStyle w:val="552"/>
              <w:rPr>
                <w:rFonts w:hint="eastAsia"/>
                <w:i w:val="0"/>
                <w:iCs w:val="0"/>
                <w:color w:val="auto"/>
                <w:highlight w:val="none"/>
              </w:rPr>
            </w:pPr>
            <w:r>
              <w:rPr>
                <w:rFonts w:hint="eastAsia"/>
                <w:i w:val="0"/>
                <w:iCs w:val="0"/>
                <w:color w:val="auto"/>
                <w:highlight w:val="none"/>
              </w:rPr>
              <w:t>ISM</w:t>
            </w:r>
          </w:p>
        </w:tc>
        <w:tc>
          <w:tcPr>
            <w:tcW w:w="4296" w:type="dxa"/>
            <w:vAlign w:val="center"/>
          </w:tcPr>
          <w:p w14:paraId="234F99BA">
            <w:pPr>
              <w:pStyle w:val="552"/>
              <w:rPr>
                <w:rFonts w:hint="eastAsia"/>
                <w:i w:val="0"/>
                <w:iCs w:val="0"/>
                <w:color w:val="auto"/>
                <w:highlight w:val="none"/>
              </w:rPr>
            </w:pPr>
            <w:r>
              <w:rPr>
                <w:i w:val="0"/>
                <w:iCs w:val="0"/>
                <w:color w:val="auto"/>
                <w:highlight w:val="none"/>
              </w:rPr>
              <w:t>Intelligent</w:t>
            </w:r>
            <w:r>
              <w:rPr>
                <w:rFonts w:hint="eastAsia"/>
                <w:i w:val="0"/>
                <w:iCs w:val="0"/>
                <w:color w:val="auto"/>
                <w:highlight w:val="none"/>
              </w:rPr>
              <w:t>S</w:t>
            </w:r>
            <w:r>
              <w:rPr>
                <w:i w:val="0"/>
                <w:iCs w:val="0"/>
                <w:color w:val="auto"/>
                <w:highlight w:val="none"/>
              </w:rPr>
              <w:t>ervice</w:t>
            </w:r>
            <w:r>
              <w:rPr>
                <w:rFonts w:hint="eastAsia"/>
                <w:i w:val="0"/>
                <w:iCs w:val="0"/>
                <w:color w:val="auto"/>
                <w:highlight w:val="none"/>
              </w:rPr>
              <w:t>M</w:t>
            </w:r>
            <w:r>
              <w:rPr>
                <w:i w:val="0"/>
                <w:iCs w:val="0"/>
                <w:color w:val="auto"/>
                <w:highlight w:val="none"/>
              </w:rPr>
              <w:t>achine</w:t>
            </w:r>
          </w:p>
        </w:tc>
        <w:tc>
          <w:tcPr>
            <w:tcW w:w="2910" w:type="dxa"/>
            <w:vAlign w:val="center"/>
          </w:tcPr>
          <w:p w14:paraId="234F99BB">
            <w:pPr>
              <w:pStyle w:val="552"/>
              <w:rPr>
                <w:rFonts w:hint="eastAsia"/>
                <w:i w:val="0"/>
                <w:iCs w:val="0"/>
                <w:color w:val="auto"/>
                <w:highlight w:val="none"/>
              </w:rPr>
            </w:pPr>
            <w:r>
              <w:rPr>
                <w:i w:val="0"/>
                <w:iCs w:val="0"/>
                <w:color w:val="auto"/>
                <w:highlight w:val="none"/>
              </w:rPr>
              <w:t>智能客服终端</w:t>
            </w:r>
          </w:p>
        </w:tc>
      </w:tr>
      <w:tr w14:paraId="234F99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BD">
            <w:pPr>
              <w:pStyle w:val="552"/>
              <w:rPr>
                <w:rFonts w:hint="eastAsia"/>
                <w:i w:val="0"/>
                <w:iCs w:val="0"/>
                <w:color w:val="auto"/>
                <w:highlight w:val="none"/>
              </w:rPr>
            </w:pPr>
            <w:r>
              <w:rPr>
                <w:i w:val="0"/>
                <w:iCs w:val="0"/>
                <w:color w:val="auto"/>
                <w:highlight w:val="none"/>
              </w:rPr>
              <w:t>IVR</w:t>
            </w:r>
          </w:p>
        </w:tc>
        <w:tc>
          <w:tcPr>
            <w:tcW w:w="4296" w:type="dxa"/>
            <w:vAlign w:val="center"/>
          </w:tcPr>
          <w:p w14:paraId="234F99BE">
            <w:pPr>
              <w:pStyle w:val="552"/>
              <w:rPr>
                <w:rFonts w:hint="eastAsia"/>
                <w:i w:val="0"/>
                <w:iCs w:val="0"/>
                <w:color w:val="auto"/>
                <w:highlight w:val="none"/>
              </w:rPr>
            </w:pPr>
            <w:r>
              <w:rPr>
                <w:i w:val="0"/>
                <w:iCs w:val="0"/>
                <w:color w:val="auto"/>
                <w:highlight w:val="none"/>
              </w:rPr>
              <w:t xml:space="preserve">Interactive Voice Response </w:t>
            </w:r>
          </w:p>
        </w:tc>
        <w:tc>
          <w:tcPr>
            <w:tcW w:w="2910" w:type="dxa"/>
            <w:vAlign w:val="center"/>
          </w:tcPr>
          <w:p w14:paraId="234F99BF">
            <w:pPr>
              <w:pStyle w:val="552"/>
              <w:rPr>
                <w:rFonts w:hint="eastAsia"/>
                <w:i w:val="0"/>
                <w:iCs w:val="0"/>
                <w:color w:val="auto"/>
                <w:highlight w:val="none"/>
              </w:rPr>
            </w:pPr>
            <w:r>
              <w:rPr>
                <w:i w:val="0"/>
                <w:iCs w:val="0"/>
                <w:color w:val="auto"/>
                <w:highlight w:val="none"/>
              </w:rPr>
              <w:t>互动式语音应答</w:t>
            </w:r>
          </w:p>
        </w:tc>
      </w:tr>
      <w:tr w14:paraId="234F99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C1">
            <w:pPr>
              <w:pStyle w:val="552"/>
              <w:rPr>
                <w:rFonts w:hint="eastAsia"/>
                <w:i w:val="0"/>
                <w:iCs w:val="0"/>
                <w:color w:val="auto"/>
                <w:highlight w:val="none"/>
              </w:rPr>
            </w:pPr>
            <w:r>
              <w:rPr>
                <w:i w:val="0"/>
                <w:iCs w:val="0"/>
                <w:color w:val="auto"/>
                <w:highlight w:val="none"/>
              </w:rPr>
              <w:t>LAN</w:t>
            </w:r>
          </w:p>
        </w:tc>
        <w:tc>
          <w:tcPr>
            <w:tcW w:w="4296" w:type="dxa"/>
            <w:vAlign w:val="center"/>
          </w:tcPr>
          <w:p w14:paraId="234F99C2">
            <w:pPr>
              <w:pStyle w:val="552"/>
              <w:rPr>
                <w:rFonts w:hint="eastAsia"/>
                <w:i w:val="0"/>
                <w:iCs w:val="0"/>
                <w:color w:val="auto"/>
                <w:highlight w:val="none"/>
              </w:rPr>
            </w:pPr>
            <w:r>
              <w:rPr>
                <w:i w:val="0"/>
                <w:iCs w:val="0"/>
                <w:color w:val="auto"/>
                <w:highlight w:val="none"/>
              </w:rPr>
              <w:t>Local Area Network</w:t>
            </w:r>
          </w:p>
        </w:tc>
        <w:tc>
          <w:tcPr>
            <w:tcW w:w="2910" w:type="dxa"/>
            <w:vAlign w:val="center"/>
          </w:tcPr>
          <w:p w14:paraId="234F99C3">
            <w:pPr>
              <w:pStyle w:val="552"/>
              <w:rPr>
                <w:rFonts w:hint="eastAsia"/>
                <w:i w:val="0"/>
                <w:iCs w:val="0"/>
                <w:color w:val="auto"/>
                <w:highlight w:val="none"/>
              </w:rPr>
            </w:pPr>
            <w:r>
              <w:rPr>
                <w:i w:val="0"/>
                <w:iCs w:val="0"/>
                <w:color w:val="auto"/>
                <w:highlight w:val="none"/>
              </w:rPr>
              <w:t>局域网</w:t>
            </w:r>
          </w:p>
        </w:tc>
      </w:tr>
      <w:tr w14:paraId="234F99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C5">
            <w:pPr>
              <w:pStyle w:val="552"/>
              <w:rPr>
                <w:rFonts w:hint="eastAsia"/>
                <w:i w:val="0"/>
                <w:iCs w:val="0"/>
                <w:color w:val="auto"/>
                <w:highlight w:val="none"/>
              </w:rPr>
            </w:pPr>
            <w:r>
              <w:rPr>
                <w:i w:val="0"/>
                <w:iCs w:val="0"/>
                <w:color w:val="auto"/>
                <w:highlight w:val="none"/>
              </w:rPr>
              <w:t>MCBF</w:t>
            </w:r>
          </w:p>
        </w:tc>
        <w:tc>
          <w:tcPr>
            <w:tcW w:w="4296" w:type="dxa"/>
            <w:vAlign w:val="center"/>
          </w:tcPr>
          <w:p w14:paraId="234F99C6">
            <w:pPr>
              <w:pStyle w:val="552"/>
              <w:rPr>
                <w:rFonts w:hint="eastAsia"/>
                <w:i w:val="0"/>
                <w:iCs w:val="0"/>
                <w:color w:val="auto"/>
                <w:highlight w:val="none"/>
              </w:rPr>
            </w:pPr>
            <w:r>
              <w:rPr>
                <w:i w:val="0"/>
                <w:iCs w:val="0"/>
                <w:color w:val="auto"/>
                <w:highlight w:val="none"/>
              </w:rPr>
              <w:t>Mean-Cycles Between Failure</w:t>
            </w:r>
          </w:p>
        </w:tc>
        <w:tc>
          <w:tcPr>
            <w:tcW w:w="2910" w:type="dxa"/>
            <w:vAlign w:val="center"/>
          </w:tcPr>
          <w:p w14:paraId="234F99C7">
            <w:pPr>
              <w:pStyle w:val="552"/>
              <w:rPr>
                <w:rFonts w:hint="eastAsia"/>
                <w:i w:val="0"/>
                <w:iCs w:val="0"/>
                <w:color w:val="auto"/>
                <w:highlight w:val="none"/>
              </w:rPr>
            </w:pPr>
            <w:r>
              <w:rPr>
                <w:i w:val="0"/>
                <w:iCs w:val="0"/>
                <w:color w:val="auto"/>
                <w:highlight w:val="none"/>
              </w:rPr>
              <w:t>平均无故障次数</w:t>
            </w:r>
          </w:p>
        </w:tc>
      </w:tr>
      <w:tr w14:paraId="234F9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C9">
            <w:pPr>
              <w:pStyle w:val="552"/>
              <w:rPr>
                <w:rFonts w:hint="eastAsia"/>
                <w:i w:val="0"/>
                <w:iCs w:val="0"/>
                <w:color w:val="auto"/>
                <w:highlight w:val="none"/>
              </w:rPr>
            </w:pPr>
            <w:r>
              <w:rPr>
                <w:i w:val="0"/>
                <w:iCs w:val="0"/>
                <w:color w:val="auto"/>
                <w:highlight w:val="none"/>
              </w:rPr>
              <w:t>MTBF</w:t>
            </w:r>
          </w:p>
        </w:tc>
        <w:tc>
          <w:tcPr>
            <w:tcW w:w="4296" w:type="dxa"/>
            <w:vAlign w:val="center"/>
          </w:tcPr>
          <w:p w14:paraId="234F99CA">
            <w:pPr>
              <w:pStyle w:val="552"/>
              <w:rPr>
                <w:rFonts w:hint="eastAsia"/>
                <w:i w:val="0"/>
                <w:iCs w:val="0"/>
                <w:color w:val="auto"/>
                <w:highlight w:val="none"/>
              </w:rPr>
            </w:pPr>
            <w:r>
              <w:rPr>
                <w:i w:val="0"/>
                <w:iCs w:val="0"/>
                <w:color w:val="auto"/>
                <w:highlight w:val="none"/>
              </w:rPr>
              <w:t>Mean-Time Between Failure</w:t>
            </w:r>
          </w:p>
        </w:tc>
        <w:tc>
          <w:tcPr>
            <w:tcW w:w="2910" w:type="dxa"/>
            <w:vAlign w:val="center"/>
          </w:tcPr>
          <w:p w14:paraId="234F99CB">
            <w:pPr>
              <w:pStyle w:val="552"/>
              <w:rPr>
                <w:rFonts w:hint="eastAsia"/>
                <w:i w:val="0"/>
                <w:iCs w:val="0"/>
                <w:color w:val="auto"/>
                <w:highlight w:val="none"/>
              </w:rPr>
            </w:pPr>
            <w:r>
              <w:rPr>
                <w:i w:val="0"/>
                <w:iCs w:val="0"/>
                <w:color w:val="auto"/>
                <w:highlight w:val="none"/>
              </w:rPr>
              <w:t>平均无故障时间</w:t>
            </w:r>
          </w:p>
        </w:tc>
      </w:tr>
      <w:tr w14:paraId="234F9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CD">
            <w:pPr>
              <w:pStyle w:val="552"/>
              <w:rPr>
                <w:rFonts w:hint="eastAsia"/>
                <w:i w:val="0"/>
                <w:iCs w:val="0"/>
                <w:color w:val="auto"/>
                <w:highlight w:val="none"/>
              </w:rPr>
            </w:pPr>
            <w:r>
              <w:rPr>
                <w:i w:val="0"/>
                <w:iCs w:val="0"/>
                <w:color w:val="auto"/>
                <w:highlight w:val="none"/>
              </w:rPr>
              <w:t>MTBSF</w:t>
            </w:r>
          </w:p>
        </w:tc>
        <w:tc>
          <w:tcPr>
            <w:tcW w:w="4296" w:type="dxa"/>
            <w:vAlign w:val="center"/>
          </w:tcPr>
          <w:p w14:paraId="234F99CE">
            <w:pPr>
              <w:pStyle w:val="552"/>
              <w:rPr>
                <w:rFonts w:hint="eastAsia"/>
                <w:i w:val="0"/>
                <w:iCs w:val="0"/>
                <w:color w:val="auto"/>
                <w:highlight w:val="none"/>
                <w:lang w:val="en-US"/>
              </w:rPr>
            </w:pPr>
            <w:r>
              <w:rPr>
                <w:i w:val="0"/>
                <w:iCs w:val="0"/>
                <w:color w:val="auto"/>
                <w:highlight w:val="none"/>
                <w:lang w:val="en-US"/>
              </w:rPr>
              <w:t>Mean-Time Between Serve Failure</w:t>
            </w:r>
          </w:p>
        </w:tc>
        <w:tc>
          <w:tcPr>
            <w:tcW w:w="2910" w:type="dxa"/>
            <w:vAlign w:val="center"/>
          </w:tcPr>
          <w:p w14:paraId="234F99CF">
            <w:pPr>
              <w:pStyle w:val="552"/>
              <w:rPr>
                <w:rFonts w:hint="eastAsia"/>
                <w:i w:val="0"/>
                <w:iCs w:val="0"/>
                <w:color w:val="auto"/>
                <w:highlight w:val="none"/>
              </w:rPr>
            </w:pPr>
            <w:r>
              <w:rPr>
                <w:i w:val="0"/>
                <w:iCs w:val="0"/>
                <w:color w:val="auto"/>
                <w:highlight w:val="none"/>
              </w:rPr>
              <w:t>运营中故障平均间隔时间</w:t>
            </w:r>
          </w:p>
        </w:tc>
      </w:tr>
      <w:tr w14:paraId="234F9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D1">
            <w:pPr>
              <w:pStyle w:val="552"/>
              <w:rPr>
                <w:rFonts w:hint="eastAsia"/>
                <w:i w:val="0"/>
                <w:iCs w:val="0"/>
                <w:color w:val="auto"/>
                <w:highlight w:val="none"/>
              </w:rPr>
            </w:pPr>
            <w:r>
              <w:rPr>
                <w:i w:val="0"/>
                <w:iCs w:val="0"/>
                <w:color w:val="auto"/>
                <w:highlight w:val="none"/>
              </w:rPr>
              <w:t>MT</w:t>
            </w:r>
          </w:p>
        </w:tc>
        <w:tc>
          <w:tcPr>
            <w:tcW w:w="4296" w:type="dxa"/>
            <w:vAlign w:val="center"/>
          </w:tcPr>
          <w:p w14:paraId="234F99D2">
            <w:pPr>
              <w:pStyle w:val="552"/>
              <w:rPr>
                <w:rFonts w:hint="eastAsia"/>
                <w:i w:val="0"/>
                <w:iCs w:val="0"/>
                <w:color w:val="auto"/>
                <w:highlight w:val="none"/>
              </w:rPr>
            </w:pPr>
            <w:r>
              <w:rPr>
                <w:i w:val="0"/>
                <w:iCs w:val="0"/>
                <w:color w:val="auto"/>
                <w:highlight w:val="none"/>
              </w:rPr>
              <w:t>Mass Transit</w:t>
            </w:r>
          </w:p>
        </w:tc>
        <w:tc>
          <w:tcPr>
            <w:tcW w:w="2910" w:type="dxa"/>
            <w:vAlign w:val="center"/>
          </w:tcPr>
          <w:p w14:paraId="234F99D3">
            <w:pPr>
              <w:pStyle w:val="552"/>
              <w:rPr>
                <w:rFonts w:hint="eastAsia"/>
                <w:i w:val="0"/>
                <w:iCs w:val="0"/>
                <w:color w:val="auto"/>
                <w:highlight w:val="none"/>
              </w:rPr>
            </w:pPr>
            <w:r>
              <w:rPr>
                <w:i w:val="0"/>
                <w:iCs w:val="0"/>
                <w:color w:val="auto"/>
                <w:highlight w:val="none"/>
              </w:rPr>
              <w:t>轨道交通</w:t>
            </w:r>
          </w:p>
        </w:tc>
      </w:tr>
      <w:tr w14:paraId="234F99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D5">
            <w:pPr>
              <w:pStyle w:val="552"/>
              <w:rPr>
                <w:rFonts w:hint="eastAsia"/>
                <w:i w:val="0"/>
                <w:iCs w:val="0"/>
                <w:color w:val="auto"/>
                <w:highlight w:val="none"/>
              </w:rPr>
            </w:pPr>
            <w:r>
              <w:rPr>
                <w:i w:val="0"/>
                <w:iCs w:val="0"/>
                <w:color w:val="auto"/>
                <w:highlight w:val="none"/>
              </w:rPr>
              <w:t>MTT</w:t>
            </w:r>
          </w:p>
        </w:tc>
        <w:tc>
          <w:tcPr>
            <w:tcW w:w="4296" w:type="dxa"/>
            <w:vAlign w:val="center"/>
          </w:tcPr>
          <w:p w14:paraId="234F99D6">
            <w:pPr>
              <w:pStyle w:val="552"/>
              <w:rPr>
                <w:rFonts w:hint="eastAsia"/>
                <w:i w:val="0"/>
                <w:iCs w:val="0"/>
                <w:color w:val="auto"/>
                <w:highlight w:val="none"/>
              </w:rPr>
            </w:pPr>
            <w:r>
              <w:rPr>
                <w:i w:val="0"/>
                <w:iCs w:val="0"/>
                <w:color w:val="auto"/>
                <w:highlight w:val="none"/>
              </w:rPr>
              <w:t>Mass Transit Ticket</w:t>
            </w:r>
          </w:p>
        </w:tc>
        <w:tc>
          <w:tcPr>
            <w:tcW w:w="2910" w:type="dxa"/>
            <w:vAlign w:val="center"/>
          </w:tcPr>
          <w:p w14:paraId="234F99D7">
            <w:pPr>
              <w:pStyle w:val="552"/>
              <w:rPr>
                <w:rFonts w:hint="eastAsia"/>
                <w:i w:val="0"/>
                <w:iCs w:val="0"/>
                <w:color w:val="auto"/>
                <w:highlight w:val="none"/>
              </w:rPr>
            </w:pPr>
            <w:r>
              <w:rPr>
                <w:i w:val="0"/>
                <w:iCs w:val="0"/>
                <w:color w:val="auto"/>
                <w:highlight w:val="none"/>
              </w:rPr>
              <w:t>轨道交通专用车票</w:t>
            </w:r>
          </w:p>
        </w:tc>
      </w:tr>
      <w:tr w14:paraId="234F99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D9">
            <w:pPr>
              <w:pStyle w:val="552"/>
              <w:rPr>
                <w:rFonts w:hint="eastAsia"/>
                <w:i w:val="0"/>
                <w:iCs w:val="0"/>
                <w:color w:val="auto"/>
                <w:highlight w:val="none"/>
              </w:rPr>
            </w:pPr>
            <w:r>
              <w:rPr>
                <w:i w:val="0"/>
                <w:iCs w:val="0"/>
                <w:color w:val="auto"/>
                <w:highlight w:val="none"/>
              </w:rPr>
              <w:t>MTTR</w:t>
            </w:r>
          </w:p>
        </w:tc>
        <w:tc>
          <w:tcPr>
            <w:tcW w:w="4296" w:type="dxa"/>
            <w:vAlign w:val="center"/>
          </w:tcPr>
          <w:p w14:paraId="234F99DA">
            <w:pPr>
              <w:pStyle w:val="552"/>
              <w:rPr>
                <w:rFonts w:hint="eastAsia"/>
                <w:i w:val="0"/>
                <w:iCs w:val="0"/>
                <w:color w:val="auto"/>
                <w:highlight w:val="none"/>
              </w:rPr>
            </w:pPr>
            <w:r>
              <w:rPr>
                <w:i w:val="0"/>
                <w:iCs w:val="0"/>
                <w:color w:val="auto"/>
                <w:highlight w:val="none"/>
              </w:rPr>
              <w:t>Mean Time To Repair</w:t>
            </w:r>
          </w:p>
        </w:tc>
        <w:tc>
          <w:tcPr>
            <w:tcW w:w="2910" w:type="dxa"/>
            <w:vAlign w:val="center"/>
          </w:tcPr>
          <w:p w14:paraId="234F99DB">
            <w:pPr>
              <w:pStyle w:val="552"/>
              <w:rPr>
                <w:rFonts w:hint="eastAsia"/>
                <w:i w:val="0"/>
                <w:iCs w:val="0"/>
                <w:color w:val="auto"/>
                <w:highlight w:val="none"/>
              </w:rPr>
            </w:pPr>
            <w:r>
              <w:rPr>
                <w:i w:val="0"/>
                <w:iCs w:val="0"/>
                <w:color w:val="auto"/>
                <w:highlight w:val="none"/>
              </w:rPr>
              <w:t>平均故障恢复维修时间</w:t>
            </w:r>
          </w:p>
        </w:tc>
      </w:tr>
      <w:tr w14:paraId="234F99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DD">
            <w:pPr>
              <w:pStyle w:val="552"/>
              <w:rPr>
                <w:rFonts w:hint="eastAsia"/>
                <w:i w:val="0"/>
                <w:iCs w:val="0"/>
                <w:color w:val="auto"/>
                <w:highlight w:val="none"/>
              </w:rPr>
            </w:pPr>
            <w:r>
              <w:rPr>
                <w:i w:val="0"/>
                <w:iCs w:val="0"/>
                <w:color w:val="auto"/>
                <w:highlight w:val="none"/>
              </w:rPr>
              <w:t>OCC</w:t>
            </w:r>
          </w:p>
        </w:tc>
        <w:tc>
          <w:tcPr>
            <w:tcW w:w="4296" w:type="dxa"/>
            <w:vAlign w:val="center"/>
          </w:tcPr>
          <w:p w14:paraId="234F99DE">
            <w:pPr>
              <w:pStyle w:val="552"/>
              <w:rPr>
                <w:rFonts w:hint="eastAsia"/>
                <w:i w:val="0"/>
                <w:iCs w:val="0"/>
                <w:color w:val="auto"/>
                <w:highlight w:val="none"/>
              </w:rPr>
            </w:pPr>
            <w:r>
              <w:rPr>
                <w:i w:val="0"/>
                <w:iCs w:val="0"/>
                <w:color w:val="auto"/>
                <w:highlight w:val="none"/>
              </w:rPr>
              <w:t>Operating Control Center</w:t>
            </w:r>
          </w:p>
        </w:tc>
        <w:tc>
          <w:tcPr>
            <w:tcW w:w="2910" w:type="dxa"/>
            <w:vAlign w:val="center"/>
          </w:tcPr>
          <w:p w14:paraId="234F99DF">
            <w:pPr>
              <w:pStyle w:val="552"/>
              <w:rPr>
                <w:rFonts w:hint="eastAsia"/>
                <w:i w:val="0"/>
                <w:iCs w:val="0"/>
                <w:color w:val="auto"/>
                <w:highlight w:val="none"/>
              </w:rPr>
            </w:pPr>
            <w:r>
              <w:rPr>
                <w:i w:val="0"/>
                <w:iCs w:val="0"/>
                <w:color w:val="auto"/>
                <w:highlight w:val="none"/>
              </w:rPr>
              <w:t>控制中心</w:t>
            </w:r>
          </w:p>
        </w:tc>
      </w:tr>
      <w:tr w14:paraId="234F99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E1">
            <w:pPr>
              <w:pStyle w:val="552"/>
              <w:rPr>
                <w:rFonts w:hint="eastAsia"/>
                <w:i w:val="0"/>
                <w:iCs w:val="0"/>
                <w:color w:val="auto"/>
                <w:highlight w:val="none"/>
              </w:rPr>
            </w:pPr>
            <w:r>
              <w:rPr>
                <w:i w:val="0"/>
                <w:iCs w:val="0"/>
                <w:color w:val="auto"/>
                <w:highlight w:val="none"/>
              </w:rPr>
              <w:t>PCA</w:t>
            </w:r>
          </w:p>
        </w:tc>
        <w:tc>
          <w:tcPr>
            <w:tcW w:w="4296" w:type="dxa"/>
            <w:vAlign w:val="center"/>
          </w:tcPr>
          <w:p w14:paraId="234F99E2">
            <w:pPr>
              <w:pStyle w:val="552"/>
              <w:rPr>
                <w:rFonts w:hint="eastAsia"/>
                <w:i w:val="0"/>
                <w:iCs w:val="0"/>
                <w:color w:val="auto"/>
                <w:highlight w:val="none"/>
              </w:rPr>
            </w:pPr>
            <w:r>
              <w:rPr>
                <w:i w:val="0"/>
                <w:iCs w:val="0"/>
                <w:color w:val="auto"/>
                <w:highlight w:val="none"/>
              </w:rPr>
              <w:t>Portable Card Analyzer</w:t>
            </w:r>
          </w:p>
        </w:tc>
        <w:tc>
          <w:tcPr>
            <w:tcW w:w="2910" w:type="dxa"/>
            <w:vAlign w:val="center"/>
          </w:tcPr>
          <w:p w14:paraId="234F99E3">
            <w:pPr>
              <w:pStyle w:val="552"/>
              <w:rPr>
                <w:rFonts w:hint="eastAsia"/>
                <w:i w:val="0"/>
                <w:iCs w:val="0"/>
                <w:color w:val="auto"/>
                <w:highlight w:val="none"/>
              </w:rPr>
            </w:pPr>
            <w:r>
              <w:rPr>
                <w:i w:val="0"/>
                <w:iCs w:val="0"/>
                <w:color w:val="auto"/>
                <w:highlight w:val="none"/>
              </w:rPr>
              <w:t>便携式验票机</w:t>
            </w:r>
          </w:p>
        </w:tc>
      </w:tr>
      <w:tr w14:paraId="234F9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E5">
            <w:pPr>
              <w:pStyle w:val="552"/>
              <w:rPr>
                <w:rFonts w:hint="eastAsia"/>
                <w:i w:val="0"/>
                <w:iCs w:val="0"/>
                <w:color w:val="auto"/>
                <w:highlight w:val="none"/>
              </w:rPr>
            </w:pPr>
            <w:r>
              <w:rPr>
                <w:rFonts w:hint="eastAsia"/>
                <w:i w:val="0"/>
                <w:iCs w:val="0"/>
                <w:color w:val="auto"/>
                <w:highlight w:val="none"/>
              </w:rPr>
              <w:t>PIDS</w:t>
            </w:r>
          </w:p>
        </w:tc>
        <w:tc>
          <w:tcPr>
            <w:tcW w:w="4296" w:type="dxa"/>
            <w:vAlign w:val="center"/>
          </w:tcPr>
          <w:p w14:paraId="234F99E6">
            <w:pPr>
              <w:pStyle w:val="552"/>
              <w:rPr>
                <w:rFonts w:hint="eastAsia"/>
                <w:i w:val="0"/>
                <w:iCs w:val="0"/>
                <w:color w:val="auto"/>
                <w:highlight w:val="none"/>
              </w:rPr>
            </w:pPr>
            <w:r>
              <w:rPr>
                <w:i w:val="0"/>
                <w:iCs w:val="0"/>
                <w:color w:val="auto"/>
                <w:highlight w:val="none"/>
              </w:rPr>
              <w:t>Passager infomation display system</w:t>
            </w:r>
          </w:p>
        </w:tc>
        <w:tc>
          <w:tcPr>
            <w:tcW w:w="2910" w:type="dxa"/>
            <w:vAlign w:val="center"/>
          </w:tcPr>
          <w:p w14:paraId="234F99E7">
            <w:pPr>
              <w:pStyle w:val="552"/>
              <w:rPr>
                <w:rFonts w:hint="eastAsia"/>
                <w:i w:val="0"/>
                <w:iCs w:val="0"/>
                <w:color w:val="auto"/>
                <w:highlight w:val="none"/>
              </w:rPr>
            </w:pPr>
            <w:r>
              <w:rPr>
                <w:i w:val="0"/>
                <w:iCs w:val="0"/>
                <w:color w:val="auto"/>
                <w:highlight w:val="none"/>
              </w:rPr>
              <w:t>乘客信息显示系统</w:t>
            </w:r>
          </w:p>
        </w:tc>
      </w:tr>
      <w:tr w14:paraId="234F99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E9">
            <w:pPr>
              <w:pStyle w:val="552"/>
              <w:rPr>
                <w:rFonts w:hint="eastAsia"/>
                <w:i w:val="0"/>
                <w:iCs w:val="0"/>
                <w:color w:val="auto"/>
                <w:highlight w:val="none"/>
              </w:rPr>
            </w:pPr>
            <w:r>
              <w:rPr>
                <w:i w:val="0"/>
                <w:iCs w:val="0"/>
                <w:color w:val="auto"/>
                <w:highlight w:val="none"/>
              </w:rPr>
              <w:t>SAM</w:t>
            </w:r>
          </w:p>
        </w:tc>
        <w:tc>
          <w:tcPr>
            <w:tcW w:w="4296" w:type="dxa"/>
            <w:vAlign w:val="center"/>
          </w:tcPr>
          <w:p w14:paraId="234F99EA">
            <w:pPr>
              <w:pStyle w:val="552"/>
              <w:rPr>
                <w:rFonts w:hint="eastAsia"/>
                <w:i w:val="0"/>
                <w:iCs w:val="0"/>
                <w:color w:val="auto"/>
                <w:highlight w:val="none"/>
              </w:rPr>
            </w:pPr>
            <w:r>
              <w:rPr>
                <w:i w:val="0"/>
                <w:iCs w:val="0"/>
                <w:color w:val="auto"/>
                <w:highlight w:val="none"/>
              </w:rPr>
              <w:t>Secure Access Module</w:t>
            </w:r>
          </w:p>
        </w:tc>
        <w:tc>
          <w:tcPr>
            <w:tcW w:w="2910" w:type="dxa"/>
            <w:vAlign w:val="center"/>
          </w:tcPr>
          <w:p w14:paraId="234F99EB">
            <w:pPr>
              <w:pStyle w:val="552"/>
              <w:rPr>
                <w:rFonts w:hint="eastAsia"/>
                <w:i w:val="0"/>
                <w:iCs w:val="0"/>
                <w:color w:val="auto"/>
                <w:highlight w:val="none"/>
              </w:rPr>
            </w:pPr>
            <w:r>
              <w:rPr>
                <w:i w:val="0"/>
                <w:iCs w:val="0"/>
                <w:color w:val="auto"/>
                <w:highlight w:val="none"/>
              </w:rPr>
              <w:t>安全存取模块</w:t>
            </w:r>
          </w:p>
        </w:tc>
      </w:tr>
      <w:tr w14:paraId="234F99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ED">
            <w:pPr>
              <w:pStyle w:val="552"/>
              <w:rPr>
                <w:rFonts w:hint="eastAsia"/>
                <w:i w:val="0"/>
                <w:iCs w:val="0"/>
                <w:color w:val="auto"/>
                <w:highlight w:val="none"/>
              </w:rPr>
            </w:pPr>
            <w:r>
              <w:rPr>
                <w:i w:val="0"/>
                <w:iCs w:val="0"/>
                <w:color w:val="auto"/>
                <w:highlight w:val="none"/>
              </w:rPr>
              <w:t>SC</w:t>
            </w:r>
          </w:p>
        </w:tc>
        <w:tc>
          <w:tcPr>
            <w:tcW w:w="4296" w:type="dxa"/>
            <w:vAlign w:val="center"/>
          </w:tcPr>
          <w:p w14:paraId="234F99EE">
            <w:pPr>
              <w:pStyle w:val="552"/>
              <w:rPr>
                <w:rFonts w:hint="eastAsia"/>
                <w:i w:val="0"/>
                <w:iCs w:val="0"/>
                <w:color w:val="auto"/>
                <w:highlight w:val="none"/>
              </w:rPr>
            </w:pPr>
            <w:r>
              <w:rPr>
                <w:i w:val="0"/>
                <w:iCs w:val="0"/>
                <w:color w:val="auto"/>
                <w:highlight w:val="none"/>
              </w:rPr>
              <w:t>Station Computer</w:t>
            </w:r>
          </w:p>
        </w:tc>
        <w:tc>
          <w:tcPr>
            <w:tcW w:w="2910" w:type="dxa"/>
            <w:vAlign w:val="center"/>
          </w:tcPr>
          <w:p w14:paraId="234F99EF">
            <w:pPr>
              <w:pStyle w:val="552"/>
              <w:rPr>
                <w:rFonts w:hint="eastAsia"/>
                <w:i w:val="0"/>
                <w:iCs w:val="0"/>
                <w:color w:val="auto"/>
                <w:highlight w:val="none"/>
              </w:rPr>
            </w:pPr>
            <w:r>
              <w:rPr>
                <w:i w:val="0"/>
                <w:iCs w:val="0"/>
                <w:color w:val="auto"/>
                <w:highlight w:val="none"/>
              </w:rPr>
              <w:t>车站计算机</w:t>
            </w:r>
          </w:p>
        </w:tc>
      </w:tr>
      <w:tr w14:paraId="234F99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F1">
            <w:pPr>
              <w:pStyle w:val="552"/>
              <w:rPr>
                <w:rFonts w:hint="eastAsia"/>
                <w:i w:val="0"/>
                <w:iCs w:val="0"/>
                <w:color w:val="auto"/>
                <w:highlight w:val="none"/>
              </w:rPr>
            </w:pPr>
            <w:r>
              <w:rPr>
                <w:i w:val="0"/>
                <w:iCs w:val="0"/>
                <w:color w:val="auto"/>
                <w:highlight w:val="none"/>
              </w:rPr>
              <w:t>SCR</w:t>
            </w:r>
          </w:p>
        </w:tc>
        <w:tc>
          <w:tcPr>
            <w:tcW w:w="4296" w:type="dxa"/>
            <w:vAlign w:val="center"/>
          </w:tcPr>
          <w:p w14:paraId="234F99F2">
            <w:pPr>
              <w:pStyle w:val="552"/>
              <w:rPr>
                <w:rFonts w:hint="eastAsia"/>
                <w:i w:val="0"/>
                <w:iCs w:val="0"/>
                <w:color w:val="auto"/>
                <w:highlight w:val="none"/>
              </w:rPr>
            </w:pPr>
            <w:r>
              <w:rPr>
                <w:i w:val="0"/>
                <w:iCs w:val="0"/>
                <w:color w:val="auto"/>
                <w:highlight w:val="none"/>
              </w:rPr>
              <w:t>Station Control Room</w:t>
            </w:r>
          </w:p>
        </w:tc>
        <w:tc>
          <w:tcPr>
            <w:tcW w:w="2910" w:type="dxa"/>
            <w:vAlign w:val="center"/>
          </w:tcPr>
          <w:p w14:paraId="234F99F3">
            <w:pPr>
              <w:pStyle w:val="552"/>
              <w:rPr>
                <w:rFonts w:hint="eastAsia"/>
                <w:i w:val="0"/>
                <w:iCs w:val="0"/>
                <w:color w:val="auto"/>
                <w:highlight w:val="none"/>
              </w:rPr>
            </w:pPr>
            <w:r>
              <w:rPr>
                <w:i w:val="0"/>
                <w:iCs w:val="0"/>
                <w:color w:val="auto"/>
                <w:highlight w:val="none"/>
              </w:rPr>
              <w:t>车站控制室</w:t>
            </w:r>
          </w:p>
        </w:tc>
      </w:tr>
      <w:tr w14:paraId="234F99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F5">
            <w:pPr>
              <w:pStyle w:val="552"/>
              <w:rPr>
                <w:rFonts w:hint="eastAsia"/>
                <w:i w:val="0"/>
                <w:iCs w:val="0"/>
                <w:color w:val="auto"/>
                <w:highlight w:val="none"/>
              </w:rPr>
            </w:pPr>
            <w:r>
              <w:rPr>
                <w:i w:val="0"/>
                <w:iCs w:val="0"/>
                <w:color w:val="auto"/>
                <w:highlight w:val="none"/>
              </w:rPr>
              <w:t>SJT</w:t>
            </w:r>
          </w:p>
        </w:tc>
        <w:tc>
          <w:tcPr>
            <w:tcW w:w="4296" w:type="dxa"/>
            <w:vAlign w:val="center"/>
          </w:tcPr>
          <w:p w14:paraId="234F99F6">
            <w:pPr>
              <w:pStyle w:val="552"/>
              <w:rPr>
                <w:rFonts w:hint="eastAsia"/>
                <w:i w:val="0"/>
                <w:iCs w:val="0"/>
                <w:color w:val="auto"/>
                <w:highlight w:val="none"/>
              </w:rPr>
            </w:pPr>
            <w:r>
              <w:rPr>
                <w:i w:val="0"/>
                <w:iCs w:val="0"/>
                <w:color w:val="auto"/>
                <w:highlight w:val="none"/>
              </w:rPr>
              <w:t>Single Journey Ticket</w:t>
            </w:r>
          </w:p>
        </w:tc>
        <w:tc>
          <w:tcPr>
            <w:tcW w:w="2910" w:type="dxa"/>
            <w:vAlign w:val="center"/>
          </w:tcPr>
          <w:p w14:paraId="234F99F7">
            <w:pPr>
              <w:pStyle w:val="552"/>
              <w:rPr>
                <w:rFonts w:hint="eastAsia"/>
                <w:i w:val="0"/>
                <w:iCs w:val="0"/>
                <w:color w:val="auto"/>
                <w:highlight w:val="none"/>
              </w:rPr>
            </w:pPr>
            <w:r>
              <w:rPr>
                <w:i w:val="0"/>
                <w:iCs w:val="0"/>
                <w:color w:val="auto"/>
                <w:highlight w:val="none"/>
              </w:rPr>
              <w:t>单程票</w:t>
            </w:r>
          </w:p>
        </w:tc>
      </w:tr>
      <w:tr w14:paraId="234F99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F9">
            <w:pPr>
              <w:pStyle w:val="552"/>
              <w:rPr>
                <w:rFonts w:hint="eastAsia"/>
                <w:i w:val="0"/>
                <w:iCs w:val="0"/>
                <w:color w:val="auto"/>
                <w:highlight w:val="none"/>
              </w:rPr>
            </w:pPr>
            <w:r>
              <w:rPr>
                <w:i w:val="0"/>
                <w:iCs w:val="0"/>
                <w:color w:val="auto"/>
                <w:highlight w:val="none"/>
              </w:rPr>
              <w:t>SLE</w:t>
            </w:r>
          </w:p>
        </w:tc>
        <w:tc>
          <w:tcPr>
            <w:tcW w:w="4296" w:type="dxa"/>
            <w:vAlign w:val="center"/>
          </w:tcPr>
          <w:p w14:paraId="234F99FA">
            <w:pPr>
              <w:pStyle w:val="552"/>
              <w:rPr>
                <w:rFonts w:hint="eastAsia"/>
                <w:i w:val="0"/>
                <w:iCs w:val="0"/>
                <w:color w:val="auto"/>
                <w:highlight w:val="none"/>
              </w:rPr>
            </w:pPr>
            <w:r>
              <w:rPr>
                <w:i w:val="0"/>
                <w:iCs w:val="0"/>
                <w:color w:val="auto"/>
                <w:highlight w:val="none"/>
              </w:rPr>
              <w:t>Station Level Equipment</w:t>
            </w:r>
          </w:p>
        </w:tc>
        <w:tc>
          <w:tcPr>
            <w:tcW w:w="2910" w:type="dxa"/>
            <w:vAlign w:val="center"/>
          </w:tcPr>
          <w:p w14:paraId="234F99FB">
            <w:pPr>
              <w:pStyle w:val="552"/>
              <w:rPr>
                <w:rFonts w:hint="eastAsia"/>
                <w:i w:val="0"/>
                <w:iCs w:val="0"/>
                <w:color w:val="auto"/>
                <w:highlight w:val="none"/>
              </w:rPr>
            </w:pPr>
            <w:r>
              <w:rPr>
                <w:i w:val="0"/>
                <w:iCs w:val="0"/>
                <w:color w:val="auto"/>
                <w:highlight w:val="none"/>
              </w:rPr>
              <w:t>车站现场设备</w:t>
            </w:r>
          </w:p>
        </w:tc>
      </w:tr>
      <w:tr w14:paraId="234F9A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9FD">
            <w:pPr>
              <w:pStyle w:val="552"/>
              <w:rPr>
                <w:rFonts w:hint="eastAsia"/>
                <w:i w:val="0"/>
                <w:iCs w:val="0"/>
                <w:color w:val="auto"/>
                <w:highlight w:val="none"/>
              </w:rPr>
            </w:pPr>
            <w:r>
              <w:rPr>
                <w:i w:val="0"/>
                <w:iCs w:val="0"/>
                <w:color w:val="auto"/>
                <w:highlight w:val="none"/>
              </w:rPr>
              <w:t>TOKEN</w:t>
            </w:r>
          </w:p>
        </w:tc>
        <w:tc>
          <w:tcPr>
            <w:tcW w:w="4296" w:type="dxa"/>
            <w:vAlign w:val="center"/>
          </w:tcPr>
          <w:p w14:paraId="234F99FE">
            <w:pPr>
              <w:pStyle w:val="552"/>
              <w:rPr>
                <w:rFonts w:hint="eastAsia"/>
                <w:i w:val="0"/>
                <w:iCs w:val="0"/>
                <w:color w:val="auto"/>
                <w:highlight w:val="none"/>
              </w:rPr>
            </w:pPr>
            <w:r>
              <w:rPr>
                <w:i w:val="0"/>
                <w:iCs w:val="0"/>
                <w:color w:val="auto"/>
                <w:highlight w:val="none"/>
              </w:rPr>
              <w:t>Simplified CSC SJT</w:t>
            </w:r>
          </w:p>
        </w:tc>
        <w:tc>
          <w:tcPr>
            <w:tcW w:w="2910" w:type="dxa"/>
            <w:vAlign w:val="center"/>
          </w:tcPr>
          <w:p w14:paraId="234F99FF">
            <w:pPr>
              <w:pStyle w:val="552"/>
              <w:rPr>
                <w:rFonts w:hint="eastAsia"/>
                <w:i w:val="0"/>
                <w:iCs w:val="0"/>
                <w:color w:val="auto"/>
                <w:highlight w:val="none"/>
              </w:rPr>
            </w:pPr>
            <w:r>
              <w:rPr>
                <w:i w:val="0"/>
                <w:iCs w:val="0"/>
                <w:color w:val="auto"/>
                <w:highlight w:val="none"/>
              </w:rPr>
              <w:t>简易非接触式IC卡单程票</w:t>
            </w:r>
          </w:p>
        </w:tc>
      </w:tr>
      <w:tr w14:paraId="234F9A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A01">
            <w:pPr>
              <w:pStyle w:val="552"/>
              <w:rPr>
                <w:rFonts w:hint="eastAsia"/>
                <w:i w:val="0"/>
                <w:iCs w:val="0"/>
                <w:color w:val="auto"/>
                <w:highlight w:val="none"/>
              </w:rPr>
            </w:pPr>
            <w:r>
              <w:rPr>
                <w:i w:val="0"/>
                <w:iCs w:val="0"/>
                <w:color w:val="auto"/>
                <w:highlight w:val="none"/>
              </w:rPr>
              <w:t>UPS</w:t>
            </w:r>
          </w:p>
        </w:tc>
        <w:tc>
          <w:tcPr>
            <w:tcW w:w="4296" w:type="dxa"/>
            <w:vAlign w:val="center"/>
          </w:tcPr>
          <w:p w14:paraId="234F9A02">
            <w:pPr>
              <w:pStyle w:val="552"/>
              <w:rPr>
                <w:rFonts w:hint="eastAsia"/>
                <w:i w:val="0"/>
                <w:iCs w:val="0"/>
                <w:color w:val="auto"/>
                <w:highlight w:val="none"/>
              </w:rPr>
            </w:pPr>
            <w:r>
              <w:rPr>
                <w:i w:val="0"/>
                <w:iCs w:val="0"/>
                <w:color w:val="auto"/>
                <w:highlight w:val="none"/>
              </w:rPr>
              <w:t>Uninterrupted Power Source</w:t>
            </w:r>
          </w:p>
        </w:tc>
        <w:tc>
          <w:tcPr>
            <w:tcW w:w="2910" w:type="dxa"/>
            <w:vAlign w:val="center"/>
          </w:tcPr>
          <w:p w14:paraId="234F9A03">
            <w:pPr>
              <w:pStyle w:val="552"/>
              <w:rPr>
                <w:rFonts w:hint="eastAsia"/>
                <w:i w:val="0"/>
                <w:iCs w:val="0"/>
                <w:color w:val="auto"/>
                <w:highlight w:val="none"/>
              </w:rPr>
            </w:pPr>
            <w:r>
              <w:rPr>
                <w:i w:val="0"/>
                <w:iCs w:val="0"/>
                <w:color w:val="auto"/>
                <w:highlight w:val="none"/>
              </w:rPr>
              <w:t>不间断电源</w:t>
            </w:r>
          </w:p>
        </w:tc>
      </w:tr>
      <w:tr w14:paraId="234F9A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A05">
            <w:pPr>
              <w:pStyle w:val="552"/>
              <w:rPr>
                <w:rFonts w:hint="eastAsia"/>
                <w:i w:val="0"/>
                <w:iCs w:val="0"/>
                <w:color w:val="auto"/>
                <w:highlight w:val="none"/>
              </w:rPr>
            </w:pPr>
            <w:r>
              <w:rPr>
                <w:i w:val="0"/>
                <w:iCs w:val="0"/>
                <w:color w:val="auto"/>
                <w:highlight w:val="none"/>
              </w:rPr>
              <w:t>R/W</w:t>
            </w:r>
          </w:p>
        </w:tc>
        <w:tc>
          <w:tcPr>
            <w:tcW w:w="4296" w:type="dxa"/>
            <w:vAlign w:val="center"/>
          </w:tcPr>
          <w:p w14:paraId="234F9A06">
            <w:pPr>
              <w:pStyle w:val="552"/>
              <w:rPr>
                <w:rFonts w:hint="eastAsia"/>
                <w:i w:val="0"/>
                <w:iCs w:val="0"/>
                <w:color w:val="auto"/>
                <w:highlight w:val="none"/>
              </w:rPr>
            </w:pPr>
            <w:r>
              <w:rPr>
                <w:i w:val="0"/>
                <w:iCs w:val="0"/>
                <w:color w:val="auto"/>
                <w:highlight w:val="none"/>
              </w:rPr>
              <w:t>Reader/Writer</w:t>
            </w:r>
          </w:p>
        </w:tc>
        <w:tc>
          <w:tcPr>
            <w:tcW w:w="2910" w:type="dxa"/>
            <w:vAlign w:val="center"/>
          </w:tcPr>
          <w:p w14:paraId="234F9A07">
            <w:pPr>
              <w:pStyle w:val="552"/>
              <w:rPr>
                <w:rFonts w:hint="eastAsia"/>
                <w:i w:val="0"/>
                <w:iCs w:val="0"/>
                <w:color w:val="auto"/>
                <w:highlight w:val="none"/>
              </w:rPr>
            </w:pPr>
            <w:r>
              <w:rPr>
                <w:i w:val="0"/>
                <w:iCs w:val="0"/>
                <w:color w:val="auto"/>
                <w:highlight w:val="none"/>
              </w:rPr>
              <w:t>读写器</w:t>
            </w:r>
          </w:p>
        </w:tc>
      </w:tr>
      <w:tr w14:paraId="234F9A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170" w:type="dxa"/>
            <w:vAlign w:val="center"/>
          </w:tcPr>
          <w:p w14:paraId="234F9A09">
            <w:pPr>
              <w:pStyle w:val="552"/>
              <w:rPr>
                <w:rFonts w:hint="eastAsia"/>
                <w:i w:val="0"/>
                <w:iCs w:val="0"/>
                <w:color w:val="auto"/>
                <w:highlight w:val="none"/>
              </w:rPr>
            </w:pPr>
            <w:r>
              <w:rPr>
                <w:rFonts w:hint="eastAsia"/>
                <w:i w:val="0"/>
                <w:iCs w:val="0"/>
                <w:color w:val="auto"/>
                <w:highlight w:val="none"/>
              </w:rPr>
              <w:t>IMos</w:t>
            </w:r>
          </w:p>
        </w:tc>
        <w:tc>
          <w:tcPr>
            <w:tcW w:w="4296" w:type="dxa"/>
            <w:vAlign w:val="center"/>
          </w:tcPr>
          <w:p w14:paraId="234F9A0A">
            <w:pPr>
              <w:pStyle w:val="552"/>
              <w:rPr>
                <w:rFonts w:hint="eastAsia"/>
                <w:i w:val="0"/>
                <w:iCs w:val="0"/>
                <w:color w:val="auto"/>
                <w:highlight w:val="none"/>
              </w:rPr>
            </w:pPr>
            <w:r>
              <w:rPr>
                <w:rFonts w:hint="eastAsia"/>
                <w:i w:val="0"/>
                <w:iCs w:val="0"/>
                <w:color w:val="auto"/>
                <w:highlight w:val="none"/>
              </w:rPr>
              <w:t>Intelligent Metro Operating System</w:t>
            </w:r>
          </w:p>
        </w:tc>
        <w:tc>
          <w:tcPr>
            <w:tcW w:w="2910" w:type="dxa"/>
            <w:vAlign w:val="center"/>
          </w:tcPr>
          <w:p w14:paraId="234F9A0B">
            <w:pPr>
              <w:pStyle w:val="552"/>
              <w:rPr>
                <w:rFonts w:hint="eastAsia"/>
                <w:i w:val="0"/>
                <w:iCs w:val="0"/>
                <w:color w:val="auto"/>
                <w:highlight w:val="none"/>
              </w:rPr>
            </w:pPr>
            <w:r>
              <w:rPr>
                <w:rFonts w:hint="eastAsia"/>
                <w:i w:val="0"/>
                <w:iCs w:val="0"/>
                <w:color w:val="auto"/>
                <w:highlight w:val="none"/>
              </w:rPr>
              <w:t>智慧地铁管控平台</w:t>
            </w:r>
          </w:p>
        </w:tc>
      </w:tr>
    </w:tbl>
    <w:p w14:paraId="234F9A0D">
      <w:pPr>
        <w:pStyle w:val="3"/>
        <w:rPr>
          <w:i w:val="0"/>
          <w:iCs w:val="0"/>
          <w:color w:val="auto"/>
          <w:sz w:val="24"/>
          <w:szCs w:val="32"/>
          <w:highlight w:val="none"/>
        </w:rPr>
      </w:pPr>
      <w:bookmarkStart w:id="63" w:name="_Toc23394"/>
      <w:r>
        <w:rPr>
          <w:rFonts w:hint="eastAsia"/>
          <w:i w:val="0"/>
          <w:iCs w:val="0"/>
          <w:color w:val="auto"/>
          <w:sz w:val="24"/>
          <w:szCs w:val="32"/>
          <w:highlight w:val="none"/>
        </w:rPr>
        <w:t>系统通用要求</w:t>
      </w:r>
      <w:bookmarkEnd w:id="63"/>
      <w:r>
        <w:rPr>
          <w:rFonts w:hint="eastAsia" w:ascii="Times New Roman" w:hAnsi="Times New Roman" w:cs="Times New Roman"/>
          <w:i w:val="0"/>
          <w:iCs w:val="0"/>
          <w:color w:val="auto"/>
          <w:sz w:val="24"/>
          <w:szCs w:val="32"/>
          <w:highlight w:val="none"/>
        </w:rPr>
        <w:t>★</w:t>
      </w:r>
    </w:p>
    <w:p w14:paraId="234F9A0E">
      <w:pPr>
        <w:pStyle w:val="4"/>
        <w:rPr>
          <w:i w:val="0"/>
          <w:iCs w:val="0"/>
          <w:color w:val="auto"/>
          <w:sz w:val="24"/>
          <w:szCs w:val="21"/>
          <w:highlight w:val="none"/>
        </w:rPr>
      </w:pPr>
      <w:bookmarkStart w:id="64" w:name="_Toc85528736"/>
      <w:bookmarkStart w:id="65" w:name="_Toc6969"/>
      <w:bookmarkStart w:id="66" w:name="_Toc93674739"/>
      <w:r>
        <w:rPr>
          <w:rFonts w:hint="eastAsia"/>
          <w:i w:val="0"/>
          <w:iCs w:val="0"/>
          <w:color w:val="auto"/>
          <w:sz w:val="24"/>
          <w:szCs w:val="21"/>
          <w:highlight w:val="none"/>
        </w:rPr>
        <w:t>系统设备的基本要求</w:t>
      </w:r>
      <w:bookmarkEnd w:id="64"/>
      <w:bookmarkEnd w:id="65"/>
      <w:bookmarkEnd w:id="66"/>
    </w:p>
    <w:p w14:paraId="234F9A0F">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对系统和设备的技术要求应满足下列有关规定和建议：</w:t>
      </w:r>
    </w:p>
    <w:p w14:paraId="234F9A10">
      <w:pPr>
        <w:pStyle w:val="142"/>
        <w:numPr>
          <w:ilvl w:val="0"/>
          <w:numId w:val="30"/>
        </w:numPr>
        <w:ind w:firstLineChars="0"/>
        <w:rPr>
          <w:i w:val="0"/>
          <w:iCs w:val="0"/>
          <w:color w:val="auto"/>
          <w:sz w:val="21"/>
          <w:szCs w:val="15"/>
          <w:highlight w:val="none"/>
          <w:lang w:val="en-US"/>
        </w:rPr>
      </w:pPr>
      <w:r>
        <w:rPr>
          <w:rFonts w:hint="eastAsia"/>
          <w:i w:val="0"/>
          <w:iCs w:val="0"/>
          <w:color w:val="auto"/>
          <w:sz w:val="21"/>
          <w:szCs w:val="15"/>
          <w:highlight w:val="none"/>
          <w:lang w:val="en-US"/>
        </w:rPr>
        <w:t>国家的有关标准</w:t>
      </w:r>
    </w:p>
    <w:p w14:paraId="234F9A11">
      <w:pPr>
        <w:pStyle w:val="142"/>
        <w:numPr>
          <w:ilvl w:val="0"/>
          <w:numId w:val="30"/>
        </w:numPr>
        <w:ind w:firstLineChars="0"/>
        <w:rPr>
          <w:i w:val="0"/>
          <w:iCs w:val="0"/>
          <w:color w:val="auto"/>
          <w:sz w:val="21"/>
          <w:szCs w:val="15"/>
          <w:highlight w:val="none"/>
          <w:lang w:val="en-US"/>
        </w:rPr>
      </w:pPr>
      <w:r>
        <w:rPr>
          <w:rFonts w:hint="eastAsia"/>
          <w:i w:val="0"/>
          <w:iCs w:val="0"/>
          <w:color w:val="auto"/>
          <w:sz w:val="21"/>
          <w:szCs w:val="15"/>
          <w:highlight w:val="none"/>
          <w:lang w:val="en-US"/>
        </w:rPr>
        <w:t>轨道交通行业标准</w:t>
      </w:r>
    </w:p>
    <w:p w14:paraId="234F9A12">
      <w:pPr>
        <w:pStyle w:val="142"/>
        <w:numPr>
          <w:ilvl w:val="0"/>
          <w:numId w:val="30"/>
        </w:numPr>
        <w:ind w:firstLineChars="0"/>
        <w:rPr>
          <w:i w:val="0"/>
          <w:iCs w:val="0"/>
          <w:color w:val="auto"/>
          <w:sz w:val="21"/>
          <w:szCs w:val="15"/>
          <w:highlight w:val="none"/>
          <w:lang w:val="en-US"/>
        </w:rPr>
      </w:pPr>
      <w:r>
        <w:rPr>
          <w:rFonts w:hint="eastAsia"/>
          <w:i w:val="0"/>
          <w:iCs w:val="0"/>
          <w:color w:val="auto"/>
          <w:sz w:val="21"/>
          <w:szCs w:val="15"/>
          <w:highlight w:val="none"/>
          <w:lang w:val="en-US"/>
        </w:rPr>
        <w:t>IEC、ISO的有关标准</w:t>
      </w:r>
    </w:p>
    <w:p w14:paraId="234F9A13">
      <w:pPr>
        <w:pStyle w:val="142"/>
        <w:numPr>
          <w:ilvl w:val="0"/>
          <w:numId w:val="30"/>
        </w:numPr>
        <w:ind w:firstLineChars="0"/>
        <w:rPr>
          <w:i w:val="0"/>
          <w:iCs w:val="0"/>
          <w:color w:val="auto"/>
          <w:sz w:val="21"/>
          <w:szCs w:val="15"/>
          <w:highlight w:val="none"/>
          <w:lang w:val="en-US"/>
        </w:rPr>
      </w:pPr>
      <w:r>
        <w:rPr>
          <w:rFonts w:hint="eastAsia"/>
          <w:i w:val="0"/>
          <w:iCs w:val="0"/>
          <w:color w:val="auto"/>
          <w:sz w:val="21"/>
          <w:szCs w:val="15"/>
          <w:highlight w:val="none"/>
          <w:lang w:val="en-US"/>
        </w:rPr>
        <w:t>IEEE有关协议</w:t>
      </w:r>
    </w:p>
    <w:p w14:paraId="234F9A14">
      <w:pPr>
        <w:pStyle w:val="142"/>
        <w:numPr>
          <w:ilvl w:val="0"/>
          <w:numId w:val="30"/>
        </w:numPr>
        <w:ind w:firstLineChars="0"/>
        <w:rPr>
          <w:i w:val="0"/>
          <w:iCs w:val="0"/>
          <w:color w:val="auto"/>
          <w:sz w:val="21"/>
          <w:szCs w:val="15"/>
          <w:highlight w:val="none"/>
          <w:lang w:val="en-US"/>
        </w:rPr>
      </w:pPr>
      <w:r>
        <w:rPr>
          <w:rFonts w:hint="eastAsia"/>
          <w:i w:val="0"/>
          <w:iCs w:val="0"/>
          <w:color w:val="auto"/>
          <w:sz w:val="21"/>
          <w:szCs w:val="15"/>
          <w:highlight w:val="none"/>
          <w:lang w:val="en-US"/>
        </w:rPr>
        <w:t>ITU-T、ITU-R的有关建议</w:t>
      </w:r>
    </w:p>
    <w:p w14:paraId="234F9A15">
      <w:pPr>
        <w:pStyle w:val="142"/>
        <w:numPr>
          <w:ilvl w:val="0"/>
          <w:numId w:val="30"/>
        </w:numPr>
        <w:ind w:firstLineChars="0"/>
        <w:rPr>
          <w:i w:val="0"/>
          <w:iCs w:val="0"/>
          <w:color w:val="auto"/>
          <w:sz w:val="21"/>
          <w:szCs w:val="15"/>
          <w:highlight w:val="none"/>
          <w:lang w:val="en-US"/>
        </w:rPr>
      </w:pPr>
      <w:r>
        <w:rPr>
          <w:rFonts w:hint="eastAsia"/>
          <w:i w:val="0"/>
          <w:iCs w:val="0"/>
          <w:color w:val="auto"/>
          <w:sz w:val="21"/>
          <w:szCs w:val="15"/>
          <w:highlight w:val="none"/>
          <w:lang w:val="en-US"/>
        </w:rPr>
        <w:t>本招标文件中特别指定和制定的标准及技术要求</w:t>
      </w:r>
    </w:p>
    <w:p w14:paraId="234F9A16">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设备制造中，投标人应考虑整个系统设备之间的接口问题，特别是所供设备与其他系统设备之间的接口，投标人负责解决接口问题，投标人如需增加设备或需相关系统开放相关接口才能满足相关功能时，应自行列入报价清单，计入投标总价，若因投标人因漏报、误报所造成的工程量增加的费用由投标人自行承担。</w:t>
      </w:r>
    </w:p>
    <w:p w14:paraId="234F9A17">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所有设备都应经过检验，且应具备有效的试验报告和合格证。投标人应首先提出检验项目和遵循标准供招标人备案。</w:t>
      </w:r>
    </w:p>
    <w:p w14:paraId="234F9A18">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所有相同规格的设备必须具有互换性。</w:t>
      </w:r>
    </w:p>
    <w:p w14:paraId="234F9A19">
      <w:pPr>
        <w:pStyle w:val="4"/>
        <w:rPr>
          <w:i w:val="0"/>
          <w:iCs w:val="0"/>
          <w:color w:val="auto"/>
          <w:sz w:val="24"/>
          <w:szCs w:val="21"/>
          <w:highlight w:val="none"/>
        </w:rPr>
      </w:pPr>
      <w:bookmarkStart w:id="67" w:name="_Toc106620894"/>
      <w:bookmarkStart w:id="68" w:name="_Toc85528737"/>
      <w:bookmarkStart w:id="69" w:name="_Toc107390281"/>
      <w:bookmarkStart w:id="70" w:name="_Toc30334"/>
      <w:bookmarkStart w:id="71" w:name="_Toc106561930"/>
      <w:bookmarkStart w:id="72" w:name="_Toc107807651"/>
      <w:bookmarkStart w:id="73" w:name="_Toc107813501"/>
      <w:bookmarkStart w:id="74" w:name="_Toc108242601"/>
      <w:bookmarkStart w:id="75" w:name="_Toc106520812"/>
      <w:bookmarkStart w:id="76" w:name="_Toc117846272"/>
      <w:bookmarkStart w:id="77" w:name="_Toc107809938"/>
      <w:bookmarkStart w:id="78" w:name="_Toc93674740"/>
      <w:r>
        <w:rPr>
          <w:rFonts w:hint="eastAsia"/>
          <w:i w:val="0"/>
          <w:iCs w:val="0"/>
          <w:color w:val="auto"/>
          <w:sz w:val="24"/>
          <w:szCs w:val="21"/>
          <w:highlight w:val="none"/>
        </w:rPr>
        <w:t>基本性能</w:t>
      </w:r>
      <w:bookmarkEnd w:id="67"/>
      <w:bookmarkEnd w:id="68"/>
      <w:bookmarkEnd w:id="69"/>
      <w:bookmarkEnd w:id="70"/>
      <w:bookmarkEnd w:id="71"/>
      <w:bookmarkEnd w:id="72"/>
      <w:bookmarkEnd w:id="73"/>
      <w:bookmarkEnd w:id="74"/>
      <w:bookmarkEnd w:id="75"/>
      <w:bookmarkEnd w:id="76"/>
      <w:bookmarkEnd w:id="77"/>
      <w:bookmarkEnd w:id="78"/>
    </w:p>
    <w:p w14:paraId="234F9A1A">
      <w:pPr>
        <w:pStyle w:val="142"/>
        <w:ind w:firstLine="420"/>
        <w:rPr>
          <w:rFonts w:hint="eastAsia"/>
          <w:i w:val="0"/>
          <w:iCs w:val="0"/>
          <w:color w:val="auto"/>
          <w:sz w:val="21"/>
          <w:szCs w:val="15"/>
          <w:highlight w:val="none"/>
          <w:lang w:val="en-US"/>
        </w:rPr>
      </w:pPr>
      <w:bookmarkStart w:id="79" w:name="_Toc102188244"/>
      <w:bookmarkStart w:id="80" w:name="_Toc106620895"/>
      <w:bookmarkStart w:id="81" w:name="_Toc99766810"/>
      <w:bookmarkStart w:id="82" w:name="_Toc102374007"/>
      <w:bookmarkStart w:id="83" w:name="_Toc104379384"/>
      <w:bookmarkStart w:id="84" w:name="_Toc99766875"/>
      <w:bookmarkStart w:id="85" w:name="_Toc104378920"/>
      <w:bookmarkStart w:id="86" w:name="_Toc101777424"/>
      <w:bookmarkStart w:id="87" w:name="_Toc108242602"/>
      <w:bookmarkStart w:id="88" w:name="_Toc107813502"/>
      <w:bookmarkStart w:id="89" w:name="_Toc99766744"/>
      <w:bookmarkStart w:id="90" w:name="_Toc102188074"/>
      <w:bookmarkStart w:id="91" w:name="_Toc102186673"/>
      <w:bookmarkStart w:id="92" w:name="_Toc106520813"/>
      <w:bookmarkStart w:id="93" w:name="_Toc102186408"/>
      <w:bookmarkStart w:id="94" w:name="_Toc117846273"/>
      <w:bookmarkStart w:id="95" w:name="_Toc106561931"/>
      <w:bookmarkStart w:id="96" w:name="_Toc99866069"/>
      <w:bookmarkStart w:id="97" w:name="_Toc103455979"/>
      <w:bookmarkStart w:id="98" w:name="_Toc107807652"/>
      <w:bookmarkStart w:id="99" w:name="_Toc105518036"/>
      <w:bookmarkStart w:id="100" w:name="_Toc104378761"/>
      <w:bookmarkStart w:id="101" w:name="_Toc101351472"/>
      <w:bookmarkStart w:id="102" w:name="_Toc103455058"/>
      <w:bookmarkStart w:id="103" w:name="_Toc104378265"/>
      <w:bookmarkStart w:id="104" w:name="_Toc103455758"/>
      <w:bookmarkStart w:id="105" w:name="_Toc107809939"/>
      <w:bookmarkStart w:id="106" w:name="_Toc102209373"/>
      <w:bookmarkStart w:id="107" w:name="_Toc103455210"/>
      <w:bookmarkStart w:id="108" w:name="_Toc103483110"/>
      <w:bookmarkStart w:id="109" w:name="_Toc104379078"/>
      <w:bookmarkStart w:id="110" w:name="_Toc102186207"/>
      <w:bookmarkStart w:id="111" w:name="_Toc103013489"/>
      <w:bookmarkStart w:id="112" w:name="_Toc107390282"/>
      <w:r>
        <w:rPr>
          <w:rFonts w:hint="eastAsia"/>
          <w:i w:val="0"/>
          <w:iCs w:val="0"/>
          <w:color w:val="auto"/>
          <w:sz w:val="21"/>
          <w:szCs w:val="15"/>
          <w:highlight w:val="none"/>
          <w:lang w:val="en-US"/>
        </w:rPr>
        <w:t>系统的设备应是可靠的，系统运行模式为24小时不间断地运行；</w:t>
      </w:r>
    </w:p>
    <w:p w14:paraId="234F9A1B">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系统的设备应是灵活的，系统扩展时应做到不影响已有设备的运行；</w:t>
      </w:r>
    </w:p>
    <w:p w14:paraId="234F9A1C">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系统的设备应是便于安装、操作和维护的；</w:t>
      </w:r>
    </w:p>
    <w:p w14:paraId="234F9A1D">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系统应适应长沙市轨道交通的特点，采用抗电磁干扰性强的设备和电缆，电缆还应具有防鼠、防蚁等措施。</w:t>
      </w:r>
    </w:p>
    <w:p w14:paraId="234F9A1E">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车载设备应适应车载环境的特点，包括抗振、防火、温度、湿度等。</w:t>
      </w:r>
    </w:p>
    <w:p w14:paraId="234F9A1F">
      <w:pPr>
        <w:pStyle w:val="4"/>
        <w:rPr>
          <w:i w:val="0"/>
          <w:iCs w:val="0"/>
          <w:color w:val="auto"/>
          <w:sz w:val="24"/>
          <w:szCs w:val="21"/>
          <w:highlight w:val="none"/>
        </w:rPr>
      </w:pPr>
      <w:bookmarkStart w:id="113" w:name="_Toc14727"/>
      <w:bookmarkStart w:id="114" w:name="_Toc93674741"/>
      <w:bookmarkStart w:id="115" w:name="_Toc85528738"/>
      <w:r>
        <w:rPr>
          <w:rFonts w:hint="eastAsia"/>
          <w:i w:val="0"/>
          <w:iCs w:val="0"/>
          <w:color w:val="auto"/>
          <w:sz w:val="24"/>
          <w:szCs w:val="21"/>
          <w:highlight w:val="none"/>
        </w:rPr>
        <w:t>产品要求</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34F9A20">
      <w:pPr>
        <w:pStyle w:val="6"/>
        <w:ind w:left="0"/>
        <w:rPr>
          <w:i w:val="0"/>
          <w:iCs w:val="0"/>
          <w:color w:val="auto"/>
          <w:sz w:val="22"/>
          <w:szCs w:val="22"/>
          <w:highlight w:val="none"/>
        </w:rPr>
      </w:pPr>
      <w:bookmarkStart w:id="116" w:name="_Toc93674742"/>
      <w:bookmarkStart w:id="117" w:name="_Toc16975"/>
      <w:r>
        <w:rPr>
          <w:rFonts w:hint="eastAsia"/>
          <w:i w:val="0"/>
          <w:iCs w:val="0"/>
          <w:color w:val="auto"/>
          <w:sz w:val="22"/>
          <w:szCs w:val="22"/>
          <w:highlight w:val="none"/>
        </w:rPr>
        <w:t>材料和工艺</w:t>
      </w:r>
      <w:bookmarkEnd w:id="116"/>
      <w:bookmarkEnd w:id="117"/>
    </w:p>
    <w:p w14:paraId="234F9A21">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系统采用的材料、加工和零部件应满足招标文件中关于性能和功能特性的要求，以及关于可靠性和可维护性的要求。</w:t>
      </w:r>
    </w:p>
    <w:p w14:paraId="234F9A22">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系统元件应以良好的商业惯例制造加工。应特别注意下述过程的整洁和仔细：锡焊、配线、零部件铭牌、电镀、喷涂、铆接、机械化装配、电焊气焊，以及零部件的倒角和去毛刺。</w:t>
      </w:r>
    </w:p>
    <w:p w14:paraId="234F9A23">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设备的金属构件表面除了加工装配面和电镀表面以外，都应进行防锈和喷涂处理。在装配前，对封闭结构的内表面也应有必要喷涂或进行防锈处理。</w:t>
      </w:r>
    </w:p>
    <w:p w14:paraId="234F9A24">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系统的部件和材料不应被施加超出制造商规格书给定值的电压、电流、温度、应力或任何其他条件。</w:t>
      </w:r>
    </w:p>
    <w:p w14:paraId="234F9A25">
      <w:pPr>
        <w:pStyle w:val="6"/>
        <w:ind w:left="0"/>
        <w:rPr>
          <w:i w:val="0"/>
          <w:iCs w:val="0"/>
          <w:color w:val="auto"/>
          <w:sz w:val="22"/>
          <w:szCs w:val="22"/>
          <w:highlight w:val="none"/>
        </w:rPr>
      </w:pPr>
      <w:bookmarkStart w:id="118" w:name="_Toc93674743"/>
      <w:bookmarkStart w:id="119" w:name="_Toc252"/>
      <w:r>
        <w:rPr>
          <w:rFonts w:hint="eastAsia"/>
          <w:i w:val="0"/>
          <w:iCs w:val="0"/>
          <w:color w:val="auto"/>
          <w:sz w:val="22"/>
          <w:szCs w:val="22"/>
          <w:highlight w:val="none"/>
        </w:rPr>
        <w:t>部件的可互换性和标准化</w:t>
      </w:r>
      <w:bookmarkEnd w:id="118"/>
      <w:bookmarkEnd w:id="119"/>
    </w:p>
    <w:p w14:paraId="234F9A26">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主要零部件应具有充分的可互换性。</w:t>
      </w:r>
    </w:p>
    <w:p w14:paraId="234F9A27">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投标人应对本工程中所有零部件、材料和器件的标准化负责。所有批量生产的设备、零部件和元器件均应是标准产品。</w:t>
      </w:r>
    </w:p>
    <w:p w14:paraId="234F9A28">
      <w:pPr>
        <w:pStyle w:val="6"/>
        <w:ind w:left="0"/>
        <w:rPr>
          <w:i w:val="0"/>
          <w:iCs w:val="0"/>
          <w:color w:val="auto"/>
          <w:sz w:val="22"/>
          <w:szCs w:val="22"/>
          <w:highlight w:val="none"/>
        </w:rPr>
      </w:pPr>
      <w:bookmarkStart w:id="120" w:name="_Toc93674744"/>
      <w:bookmarkStart w:id="121" w:name="_Toc3543"/>
      <w:r>
        <w:rPr>
          <w:rFonts w:hint="eastAsia"/>
          <w:i w:val="0"/>
          <w:iCs w:val="0"/>
          <w:color w:val="auto"/>
          <w:sz w:val="22"/>
          <w:szCs w:val="22"/>
          <w:highlight w:val="none"/>
        </w:rPr>
        <w:t>设备监测</w:t>
      </w:r>
      <w:bookmarkEnd w:id="120"/>
      <w:bookmarkEnd w:id="121"/>
    </w:p>
    <w:p w14:paraId="234F9A29">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所有设备应具有下述性能：</w:t>
      </w:r>
    </w:p>
    <w:p w14:paraId="234F9A2A">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面板上的视觉指示，用来表明设备中包含的各主要部件的运行状态；</w:t>
      </w:r>
    </w:p>
    <w:p w14:paraId="234F9A2B">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具有可在设备运行时进行测量的测试点；</w:t>
      </w:r>
    </w:p>
    <w:p w14:paraId="234F9A2C">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根据需要而设的内置仪表；</w:t>
      </w:r>
    </w:p>
    <w:p w14:paraId="234F9A2D">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微处理器控制设备有内置诊断程序；</w:t>
      </w:r>
    </w:p>
    <w:p w14:paraId="234F9A2E">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能进行人工测试；</w:t>
      </w:r>
    </w:p>
    <w:p w14:paraId="234F9A2F">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大型设备应具有智能接口。</w:t>
      </w:r>
    </w:p>
    <w:p w14:paraId="234F9A30">
      <w:pPr>
        <w:pStyle w:val="6"/>
        <w:ind w:left="0"/>
        <w:rPr>
          <w:i w:val="0"/>
          <w:iCs w:val="0"/>
          <w:color w:val="auto"/>
          <w:sz w:val="22"/>
          <w:szCs w:val="22"/>
          <w:highlight w:val="none"/>
        </w:rPr>
      </w:pPr>
      <w:bookmarkStart w:id="122" w:name="_Toc20684"/>
      <w:bookmarkStart w:id="123" w:name="_Toc93674745"/>
      <w:r>
        <w:rPr>
          <w:rFonts w:hint="eastAsia"/>
          <w:i w:val="0"/>
          <w:iCs w:val="0"/>
          <w:color w:val="auto"/>
          <w:sz w:val="22"/>
          <w:szCs w:val="22"/>
          <w:highlight w:val="none"/>
        </w:rPr>
        <w:t>设备设计</w:t>
      </w:r>
      <w:bookmarkEnd w:id="122"/>
      <w:bookmarkEnd w:id="123"/>
    </w:p>
    <w:p w14:paraId="234F9A31">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所有设备应采用模块化设计、结构合理，尽可能达到设备故障时不损坏地拆除和更换模块。</w:t>
      </w:r>
    </w:p>
    <w:p w14:paraId="234F9A32">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所有设备都应具有短路保护、浪涌保护，包括电源内部的保护。</w:t>
      </w:r>
    </w:p>
    <w:p w14:paraId="234F9A33">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投标人应负责与相关系统的接口设备设计。</w:t>
      </w:r>
    </w:p>
    <w:p w14:paraId="234F9A34">
      <w:pPr>
        <w:pStyle w:val="6"/>
        <w:ind w:left="0"/>
        <w:rPr>
          <w:i w:val="0"/>
          <w:iCs w:val="0"/>
          <w:color w:val="auto"/>
          <w:sz w:val="22"/>
          <w:szCs w:val="22"/>
          <w:highlight w:val="none"/>
        </w:rPr>
      </w:pPr>
      <w:bookmarkStart w:id="124" w:name="_Toc16075"/>
      <w:bookmarkStart w:id="125" w:name="_Toc93674746"/>
      <w:r>
        <w:rPr>
          <w:rFonts w:hint="eastAsia"/>
          <w:i w:val="0"/>
          <w:iCs w:val="0"/>
          <w:color w:val="auto"/>
          <w:sz w:val="22"/>
          <w:szCs w:val="22"/>
          <w:highlight w:val="none"/>
        </w:rPr>
        <w:t>设备配件</w:t>
      </w:r>
      <w:bookmarkEnd w:id="124"/>
      <w:bookmarkEnd w:id="125"/>
    </w:p>
    <w:p w14:paraId="234F9A35">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应提供构成智慧地铁各系统所需的所有机柜内的电缆（线）、光缆、接地电缆（线）、连接器、端子排和配线架等配件，配件应采用知名品牌、市场占用率高的产品。所有光电缆应终接于配线架，并应配有标签标识。所有电缆（线）和光缆应采取防鼠、防蚁等防护措施。</w:t>
      </w:r>
    </w:p>
    <w:p w14:paraId="234F9A36">
      <w:pPr>
        <w:pStyle w:val="6"/>
        <w:ind w:left="0"/>
        <w:rPr>
          <w:i w:val="0"/>
          <w:iCs w:val="0"/>
          <w:color w:val="auto"/>
          <w:sz w:val="22"/>
          <w:szCs w:val="22"/>
          <w:highlight w:val="none"/>
        </w:rPr>
      </w:pPr>
      <w:bookmarkStart w:id="126" w:name="_Toc93674747"/>
      <w:bookmarkStart w:id="127" w:name="_Toc13797"/>
      <w:r>
        <w:rPr>
          <w:rFonts w:hint="eastAsia"/>
          <w:i w:val="0"/>
          <w:iCs w:val="0"/>
          <w:color w:val="auto"/>
          <w:sz w:val="22"/>
          <w:szCs w:val="22"/>
          <w:highlight w:val="none"/>
        </w:rPr>
        <w:t>机柜（机箱）</w:t>
      </w:r>
      <w:bookmarkEnd w:id="126"/>
      <w:bookmarkEnd w:id="127"/>
    </w:p>
    <w:p w14:paraId="234F9A37">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投标人应提供容纳和保护所供设备（如服务器、网络设备等）所需的机柜、机架和其他机箱。</w:t>
      </w:r>
    </w:p>
    <w:p w14:paraId="234F9A38">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钢制机柜、机架、机箱和其它支撑结构应经细致清洗和防锈处理，并可经受本招标文件所述的环境条件。</w:t>
      </w:r>
    </w:p>
    <w:p w14:paraId="234F9A39">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机柜和支撑结构应涂底漆并着色。机柜、机架、机箱的颜色和尺寸协调统一，并在设计联络时提交招标人确认，其他要求详见专用技术内容。</w:t>
      </w:r>
    </w:p>
    <w:p w14:paraId="234F9A3A">
      <w:pPr>
        <w:pStyle w:val="4"/>
        <w:rPr>
          <w:i w:val="0"/>
          <w:iCs w:val="0"/>
          <w:color w:val="auto"/>
          <w:sz w:val="24"/>
          <w:szCs w:val="21"/>
          <w:highlight w:val="none"/>
        </w:rPr>
      </w:pPr>
      <w:bookmarkStart w:id="128" w:name="_Toc7234"/>
      <w:r>
        <w:rPr>
          <w:rFonts w:hint="eastAsia"/>
          <w:i w:val="0"/>
          <w:iCs w:val="0"/>
          <w:color w:val="auto"/>
          <w:sz w:val="24"/>
          <w:szCs w:val="21"/>
          <w:highlight w:val="none"/>
        </w:rPr>
        <w:t>供货的基本要求</w:t>
      </w:r>
      <w:bookmarkEnd w:id="128"/>
    </w:p>
    <w:p w14:paraId="234F9A3B">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投标人须根据本工程的工程范围和工程现场条件，针对本工程的云平台和管理网云平台建设和运营模式、上层网、建筑、供电方式等总体情况，为本工程提供满足本用户需求书要求的完整的系统设备。</w:t>
      </w:r>
    </w:p>
    <w:p w14:paraId="234F9A3C">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应满足本工程分阶段安装、调试的工期要求及供货要求，统筹安排系统的设计、出图以及系统设备的供货、设备安装、调试及运行计划，并在投标文件中提供本工程工期总进度安排的工作计划，按工程里程碑节点要求按时提供系统的工程实施内容，确保在规定的时间内达到全线全系统全功能开通的目标。</w:t>
      </w:r>
    </w:p>
    <w:p w14:paraId="234F9A3D">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须满足本工程分阶段调试的工程实施而额外采购的设备及材料应包含在本次投标报价中。投标人所提供的方案应是充分考虑了工程分阶段安装、调试、开通时的系统制造、供货、安装、调试及试验的方案；且本工程安装、调试不能影响已开通线路的正常运营。</w:t>
      </w:r>
    </w:p>
    <w:p w14:paraId="234F9A3E">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投标人须提供本工程为实现系统功能、安全防护所需的全部设备，包括全部的硬件、通用软件、专用软件、接口、线缆、防护、材料、附件等。</w:t>
      </w:r>
    </w:p>
    <w:p w14:paraId="234F9A3F">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投标人应提供所有所供设备的测试设备，自备调试所需的调试工具。</w:t>
      </w:r>
    </w:p>
    <w:p w14:paraId="234F9A40">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投标人应提供所有本系统非云设备的电源系统设备（含电源、防雷箱电源屏、不间断电源、电池）。</w:t>
      </w:r>
    </w:p>
    <w:p w14:paraId="234F9A41">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投标人应提供所供硬件设备的安装支架、底座及安装附件，安装支架采用钢质结构。</w:t>
      </w:r>
    </w:p>
    <w:p w14:paraId="234F9A42">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投标人尽可能对境外供货的设备实现国产化，满足本工程国产化率的要求。</w:t>
      </w:r>
    </w:p>
    <w:p w14:paraId="234F9A43">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投标人应详细描述所供设备、材料及测试设备的名称、规格型号、制造商、数量、性能参数等。</w:t>
      </w:r>
    </w:p>
    <w:p w14:paraId="234F9A44">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投标人在投标文件中须列明构成完整的系统所需的详细设备清单及报价，设备清单需注明设备品牌及基本配置。</w:t>
      </w:r>
    </w:p>
    <w:p w14:paraId="234F9A45">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投标人所提供的设备须满足和适应本工程的工程现场条件，任何对工程现场条件的特殊要求和不合理的修改建议，</w:t>
      </w:r>
      <w:r>
        <w:rPr>
          <w:rFonts w:hint="eastAsia"/>
          <w:i w:val="0"/>
          <w:iCs w:val="0"/>
          <w:color w:val="auto"/>
          <w:sz w:val="21"/>
          <w:szCs w:val="15"/>
          <w:highlight w:val="none"/>
          <w:lang w:val="en-US" w:eastAsia="zh-CN"/>
        </w:rPr>
        <w:t>招标人</w:t>
      </w:r>
      <w:r>
        <w:rPr>
          <w:rFonts w:hint="eastAsia"/>
          <w:i w:val="0"/>
          <w:iCs w:val="0"/>
          <w:color w:val="auto"/>
          <w:sz w:val="21"/>
          <w:szCs w:val="15"/>
          <w:highlight w:val="none"/>
          <w:lang w:val="en-US"/>
        </w:rPr>
        <w:t>将有权予以否决。</w:t>
      </w:r>
    </w:p>
    <w:p w14:paraId="234F9A46">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投标人在设备采购前应提供相关的颜色建议，由</w:t>
      </w:r>
      <w:r>
        <w:rPr>
          <w:rFonts w:hint="eastAsia"/>
          <w:i w:val="0"/>
          <w:iCs w:val="0"/>
          <w:color w:val="auto"/>
          <w:sz w:val="21"/>
          <w:szCs w:val="15"/>
          <w:highlight w:val="none"/>
          <w:lang w:val="en-US" w:eastAsia="zh-CN"/>
        </w:rPr>
        <w:t>招标人</w:t>
      </w:r>
      <w:r>
        <w:rPr>
          <w:rFonts w:hint="eastAsia"/>
          <w:i w:val="0"/>
          <w:iCs w:val="0"/>
          <w:color w:val="auto"/>
          <w:sz w:val="21"/>
          <w:szCs w:val="15"/>
          <w:highlight w:val="none"/>
          <w:lang w:val="en-US"/>
        </w:rPr>
        <w:t>综合相关专业配置情况后统一考虑，</w:t>
      </w:r>
      <w:r>
        <w:rPr>
          <w:rFonts w:hint="eastAsia"/>
          <w:i w:val="0"/>
          <w:iCs w:val="0"/>
          <w:color w:val="auto"/>
          <w:sz w:val="21"/>
          <w:szCs w:val="15"/>
          <w:highlight w:val="none"/>
          <w:lang w:val="en-US" w:eastAsia="zh-CN"/>
        </w:rPr>
        <w:t>招标人</w:t>
      </w:r>
      <w:r>
        <w:rPr>
          <w:rFonts w:hint="eastAsia"/>
          <w:i w:val="0"/>
          <w:iCs w:val="0"/>
          <w:color w:val="auto"/>
          <w:sz w:val="21"/>
          <w:szCs w:val="15"/>
          <w:highlight w:val="none"/>
          <w:lang w:val="en-US"/>
        </w:rPr>
        <w:t>保留变更显示器颜色及尺寸的权利，投标人应承诺价格不发生改变。</w:t>
      </w:r>
    </w:p>
    <w:p w14:paraId="234F9A47">
      <w:pPr>
        <w:pStyle w:val="4"/>
        <w:rPr>
          <w:i w:val="0"/>
          <w:iCs w:val="0"/>
          <w:color w:val="auto"/>
          <w:sz w:val="24"/>
          <w:szCs w:val="21"/>
          <w:highlight w:val="none"/>
        </w:rPr>
      </w:pPr>
      <w:bookmarkStart w:id="129" w:name="_Toc93674748"/>
      <w:bookmarkStart w:id="130" w:name="_Toc88859590"/>
      <w:bookmarkStart w:id="131" w:name="_Toc91773223"/>
      <w:bookmarkStart w:id="132" w:name="_Toc6490"/>
      <w:r>
        <w:rPr>
          <w:rFonts w:hint="eastAsia"/>
          <w:i w:val="0"/>
          <w:iCs w:val="0"/>
          <w:color w:val="auto"/>
          <w:sz w:val="24"/>
          <w:szCs w:val="21"/>
          <w:highlight w:val="none"/>
        </w:rPr>
        <w:t>设计原则</w:t>
      </w:r>
      <w:bookmarkEnd w:id="129"/>
      <w:bookmarkEnd w:id="130"/>
      <w:bookmarkEnd w:id="131"/>
      <w:bookmarkEnd w:id="132"/>
    </w:p>
    <w:p w14:paraId="234F9A48">
      <w:pPr>
        <w:pStyle w:val="6"/>
        <w:ind w:left="0"/>
        <w:rPr>
          <w:i w:val="0"/>
          <w:iCs w:val="0"/>
          <w:color w:val="auto"/>
          <w:sz w:val="22"/>
          <w:szCs w:val="22"/>
          <w:highlight w:val="none"/>
        </w:rPr>
      </w:pPr>
      <w:bookmarkStart w:id="133" w:name="_Toc228112947"/>
      <w:bookmarkStart w:id="134" w:name="_Toc85528739"/>
      <w:bookmarkStart w:id="135" w:name="_Toc93674749"/>
      <w:bookmarkStart w:id="136" w:name="_Toc117846274"/>
      <w:bookmarkStart w:id="137" w:name="_Toc6135"/>
      <w:bookmarkStart w:id="138" w:name="_Toc108242603"/>
      <w:r>
        <w:rPr>
          <w:rFonts w:hint="eastAsia"/>
          <w:i w:val="0"/>
          <w:iCs w:val="0"/>
          <w:color w:val="auto"/>
          <w:sz w:val="22"/>
          <w:szCs w:val="22"/>
          <w:highlight w:val="none"/>
        </w:rPr>
        <w:t>系统设计基本原则</w:t>
      </w:r>
      <w:bookmarkEnd w:id="133"/>
      <w:bookmarkEnd w:id="134"/>
      <w:bookmarkEnd w:id="135"/>
      <w:bookmarkEnd w:id="136"/>
      <w:bookmarkEnd w:id="137"/>
      <w:bookmarkEnd w:id="138"/>
    </w:p>
    <w:p w14:paraId="234F9A49">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本标段招标范围大、涉及层面广，必须满足一些基本设计原则才可保证其实施成功，系统的设计原则如下：</w:t>
      </w:r>
    </w:p>
    <w:p w14:paraId="234F9A4A">
      <w:pPr>
        <w:pStyle w:val="7"/>
        <w:ind w:left="0"/>
        <w:rPr>
          <w:i w:val="0"/>
          <w:iCs w:val="0"/>
          <w:color w:val="auto"/>
          <w:sz w:val="21"/>
          <w:szCs w:val="21"/>
          <w:highlight w:val="none"/>
        </w:rPr>
      </w:pPr>
      <w:r>
        <w:rPr>
          <w:rFonts w:hint="eastAsia"/>
          <w:i w:val="0"/>
          <w:iCs w:val="0"/>
          <w:color w:val="auto"/>
          <w:sz w:val="21"/>
          <w:szCs w:val="21"/>
          <w:highlight w:val="none"/>
        </w:rPr>
        <w:t>安全性</w:t>
      </w:r>
    </w:p>
    <w:p w14:paraId="234F9A4B">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系统应具有信息安全性，有完善的硬件、软件信息安全防范措施；系统应具有完善的权限管理；系统应具有极限负荷下的雪崩数据处理能力。</w:t>
      </w:r>
    </w:p>
    <w:p w14:paraId="234F9A4C">
      <w:pPr>
        <w:pStyle w:val="7"/>
        <w:ind w:left="0"/>
        <w:rPr>
          <w:i w:val="0"/>
          <w:iCs w:val="0"/>
          <w:color w:val="auto"/>
          <w:sz w:val="21"/>
          <w:szCs w:val="21"/>
          <w:highlight w:val="none"/>
        </w:rPr>
      </w:pPr>
      <w:r>
        <w:rPr>
          <w:rFonts w:hint="eastAsia"/>
          <w:i w:val="0"/>
          <w:iCs w:val="0"/>
          <w:color w:val="auto"/>
          <w:sz w:val="21"/>
          <w:szCs w:val="21"/>
          <w:highlight w:val="none"/>
        </w:rPr>
        <w:t>可靠性</w:t>
      </w:r>
    </w:p>
    <w:p w14:paraId="234F9A4D">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系统应通过利用如下技术降低系统故障概率和有关影响正常运行的随机性：采用硬件冗余配置；采用已证明具有高可靠性的元件；采用成熟可靠的技术。</w:t>
      </w:r>
    </w:p>
    <w:p w14:paraId="234F9A4E">
      <w:pPr>
        <w:pStyle w:val="7"/>
        <w:ind w:left="0"/>
        <w:rPr>
          <w:i w:val="0"/>
          <w:iCs w:val="0"/>
          <w:color w:val="auto"/>
          <w:sz w:val="21"/>
          <w:szCs w:val="21"/>
          <w:highlight w:val="none"/>
        </w:rPr>
      </w:pPr>
      <w:r>
        <w:rPr>
          <w:rFonts w:hint="eastAsia"/>
          <w:i w:val="0"/>
          <w:iCs w:val="0"/>
          <w:color w:val="auto"/>
          <w:sz w:val="21"/>
          <w:szCs w:val="21"/>
          <w:highlight w:val="none"/>
        </w:rPr>
        <w:t>实时性</w:t>
      </w:r>
    </w:p>
    <w:p w14:paraId="234F9A4F">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必须保证系统的数据采集、处理、传输、显示</w:t>
      </w:r>
      <w:r>
        <w:rPr>
          <w:rFonts w:hint="eastAsia"/>
          <w:i w:val="0"/>
          <w:iCs w:val="0"/>
          <w:color w:val="auto"/>
          <w:sz w:val="21"/>
          <w:szCs w:val="15"/>
          <w:highlight w:val="none"/>
          <w:lang w:val="en-US" w:eastAsia="zh-CN"/>
        </w:rPr>
        <w:t>、</w:t>
      </w:r>
      <w:r>
        <w:rPr>
          <w:rFonts w:hint="eastAsia"/>
          <w:i w:val="0"/>
          <w:iCs w:val="0"/>
          <w:color w:val="auto"/>
          <w:sz w:val="21"/>
          <w:szCs w:val="15"/>
          <w:highlight w:val="none"/>
          <w:lang w:val="en-US"/>
        </w:rPr>
        <w:t>报警、执行控制命令的实时性，满足长沙市轨道交通</w:t>
      </w:r>
      <w:r>
        <w:rPr>
          <w:rFonts w:hint="eastAsia"/>
          <w:i w:val="0"/>
          <w:iCs w:val="0"/>
          <w:color w:val="auto"/>
          <w:sz w:val="21"/>
          <w:szCs w:val="15"/>
          <w:highlight w:val="none"/>
          <w:lang w:val="en-US" w:eastAsia="zh-CN"/>
        </w:rPr>
        <w:t>6号线</w:t>
      </w:r>
      <w:r>
        <w:rPr>
          <w:rFonts w:hint="eastAsia"/>
          <w:i w:val="0"/>
          <w:iCs w:val="0"/>
          <w:color w:val="auto"/>
          <w:sz w:val="21"/>
          <w:szCs w:val="15"/>
          <w:highlight w:val="none"/>
          <w:lang w:val="en-US"/>
        </w:rPr>
        <w:t>运营要求。</w:t>
      </w:r>
    </w:p>
    <w:p w14:paraId="234F9A50">
      <w:pPr>
        <w:pStyle w:val="7"/>
        <w:ind w:left="0"/>
        <w:rPr>
          <w:i w:val="0"/>
          <w:iCs w:val="0"/>
          <w:color w:val="auto"/>
          <w:sz w:val="21"/>
          <w:szCs w:val="21"/>
          <w:highlight w:val="none"/>
        </w:rPr>
      </w:pPr>
      <w:r>
        <w:rPr>
          <w:rFonts w:hint="eastAsia"/>
          <w:i w:val="0"/>
          <w:iCs w:val="0"/>
          <w:color w:val="auto"/>
          <w:sz w:val="21"/>
          <w:szCs w:val="21"/>
          <w:highlight w:val="none"/>
        </w:rPr>
        <w:t>实用性</w:t>
      </w:r>
    </w:p>
    <w:p w14:paraId="234F9A51">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应具备完善、实用的各集成互联系统联动功能；系统应具有完善的历史数据记录、分类、查询、转储、显示、统计分析等管理功能；系统应便于组态、调试；系统应有利于制定合理的运营管理模式，提高轨道交通的运营管理水平。</w:t>
      </w:r>
    </w:p>
    <w:p w14:paraId="234F9A52">
      <w:pPr>
        <w:pStyle w:val="7"/>
        <w:ind w:left="0"/>
        <w:rPr>
          <w:i w:val="0"/>
          <w:iCs w:val="0"/>
          <w:color w:val="auto"/>
          <w:sz w:val="21"/>
          <w:szCs w:val="21"/>
          <w:highlight w:val="none"/>
        </w:rPr>
      </w:pPr>
      <w:r>
        <w:rPr>
          <w:rFonts w:hint="eastAsia"/>
          <w:i w:val="0"/>
          <w:iCs w:val="0"/>
          <w:color w:val="auto"/>
          <w:sz w:val="21"/>
          <w:szCs w:val="21"/>
          <w:highlight w:val="none"/>
        </w:rPr>
        <w:t>可扩展性</w:t>
      </w:r>
    </w:p>
    <w:p w14:paraId="234F9A53">
      <w:pPr>
        <w:pStyle w:val="142"/>
        <w:ind w:firstLine="420"/>
        <w:rPr>
          <w:i w:val="0"/>
          <w:iCs w:val="0"/>
          <w:color w:val="auto"/>
          <w:sz w:val="21"/>
          <w:szCs w:val="15"/>
          <w:highlight w:val="none"/>
          <w:lang w:val="en-US"/>
        </w:rPr>
      </w:pPr>
      <w:r>
        <w:rPr>
          <w:rFonts w:hint="eastAsia"/>
          <w:i w:val="0"/>
          <w:iCs w:val="0"/>
          <w:color w:val="auto"/>
          <w:sz w:val="21"/>
          <w:szCs w:val="15"/>
          <w:highlight w:val="none"/>
          <w:lang w:val="en-US"/>
        </w:rPr>
        <w:t>系统应是可扩展的，能适应未来系统扩展的需要；系统应采用标准的、开放的通信协议；软件和硬件采用模块化结构，可按需灵活部署。采用面向对象技术，提高系统的可复用性。</w:t>
      </w:r>
    </w:p>
    <w:p w14:paraId="234F9A54">
      <w:pPr>
        <w:pStyle w:val="7"/>
        <w:ind w:left="0"/>
        <w:rPr>
          <w:i w:val="0"/>
          <w:iCs w:val="0"/>
          <w:color w:val="auto"/>
          <w:sz w:val="21"/>
          <w:szCs w:val="21"/>
          <w:highlight w:val="none"/>
        </w:rPr>
      </w:pPr>
      <w:r>
        <w:rPr>
          <w:rFonts w:hint="eastAsia"/>
          <w:i w:val="0"/>
          <w:iCs w:val="0"/>
          <w:color w:val="auto"/>
          <w:sz w:val="21"/>
          <w:szCs w:val="21"/>
          <w:highlight w:val="none"/>
        </w:rPr>
        <w:t>可维护性</w:t>
      </w:r>
    </w:p>
    <w:p w14:paraId="234F9A55">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系统设计应包括有适当的测点及诊断措施，具有自身设备（如计算机、网络设备等）的监视管理系统；应选用统一的、优化的硬件平台，设备标准化，降低维护、维修成本。</w:t>
      </w:r>
    </w:p>
    <w:p w14:paraId="234F9A56">
      <w:pPr>
        <w:pStyle w:val="7"/>
        <w:ind w:left="0"/>
        <w:rPr>
          <w:i w:val="0"/>
          <w:iCs w:val="0"/>
          <w:color w:val="auto"/>
          <w:sz w:val="21"/>
          <w:szCs w:val="21"/>
          <w:highlight w:val="none"/>
        </w:rPr>
      </w:pPr>
      <w:r>
        <w:rPr>
          <w:rFonts w:hint="eastAsia"/>
          <w:i w:val="0"/>
          <w:iCs w:val="0"/>
          <w:color w:val="auto"/>
          <w:sz w:val="21"/>
          <w:szCs w:val="21"/>
          <w:highlight w:val="none"/>
        </w:rPr>
        <w:t>兼容性</w:t>
      </w:r>
    </w:p>
    <w:p w14:paraId="234F9A57">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系统设计应满足硬件与硬件之间、硬件与软件之间、软件与软件之间的兼容性；系统设计应满足系统的向上兼容及向下兼容性；系统设计应满足所有有关电磁兼容性要求。</w:t>
      </w:r>
    </w:p>
    <w:p w14:paraId="234F9A58">
      <w:pPr>
        <w:pStyle w:val="7"/>
        <w:ind w:left="0"/>
        <w:rPr>
          <w:i w:val="0"/>
          <w:iCs w:val="0"/>
          <w:color w:val="auto"/>
          <w:sz w:val="21"/>
          <w:szCs w:val="21"/>
          <w:highlight w:val="none"/>
        </w:rPr>
      </w:pPr>
      <w:r>
        <w:rPr>
          <w:rFonts w:hint="eastAsia"/>
          <w:i w:val="0"/>
          <w:iCs w:val="0"/>
          <w:color w:val="auto"/>
          <w:sz w:val="21"/>
          <w:szCs w:val="21"/>
          <w:highlight w:val="none"/>
        </w:rPr>
        <w:t>经济性</w:t>
      </w:r>
    </w:p>
    <w:p w14:paraId="234F9A59">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系统应具有较高的性价比。</w:t>
      </w:r>
    </w:p>
    <w:p w14:paraId="234F9A5A">
      <w:pPr>
        <w:pStyle w:val="7"/>
        <w:ind w:left="0"/>
        <w:rPr>
          <w:i w:val="0"/>
          <w:iCs w:val="0"/>
          <w:color w:val="auto"/>
          <w:sz w:val="21"/>
          <w:szCs w:val="21"/>
          <w:highlight w:val="none"/>
        </w:rPr>
      </w:pPr>
      <w:r>
        <w:rPr>
          <w:rFonts w:hint="eastAsia"/>
          <w:i w:val="0"/>
          <w:iCs w:val="0"/>
          <w:color w:val="auto"/>
          <w:sz w:val="21"/>
          <w:szCs w:val="21"/>
          <w:highlight w:val="none"/>
        </w:rPr>
        <w:t>工程可实施性</w:t>
      </w:r>
    </w:p>
    <w:p w14:paraId="234F9A5B">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系统应充分考虑系统的复杂性，可分阶段调试，先调好各专业子系统，再调试系统间联动。可分站、分系统调试和开通。调试新系统/站不应影响已经开通的系统/站。</w:t>
      </w:r>
    </w:p>
    <w:p w14:paraId="234F9A5C">
      <w:pPr>
        <w:pStyle w:val="6"/>
        <w:ind w:left="0"/>
        <w:rPr>
          <w:i w:val="0"/>
          <w:iCs w:val="0"/>
          <w:color w:val="auto"/>
          <w:sz w:val="22"/>
          <w:szCs w:val="22"/>
          <w:highlight w:val="none"/>
        </w:rPr>
      </w:pPr>
      <w:bookmarkStart w:id="139" w:name="_Toc26405"/>
      <w:bookmarkStart w:id="140" w:name="_Toc93674750"/>
      <w:r>
        <w:rPr>
          <w:rFonts w:hint="eastAsia"/>
          <w:i w:val="0"/>
          <w:iCs w:val="0"/>
          <w:color w:val="auto"/>
          <w:sz w:val="22"/>
          <w:szCs w:val="22"/>
          <w:highlight w:val="none"/>
        </w:rPr>
        <w:t>各系统设置原则</w:t>
      </w:r>
      <w:bookmarkEnd w:id="139"/>
      <w:bookmarkEnd w:id="140"/>
    </w:p>
    <w:p w14:paraId="234F9A5D">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基于云平台和大数据平台构建长沙市轨道交通6号线智慧地铁系统，智慧地铁系统的功能、定位、网络架构、网络安全、功能分配及数据标准等，遵循《长沙市轨道交通智慧地铁总体规划及实施方案》的相关要求。</w:t>
      </w:r>
    </w:p>
    <w:p w14:paraId="234F9A5E">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本次建设系统基本原则要求如下：</w:t>
      </w:r>
    </w:p>
    <w:p w14:paraId="234F9A5F">
      <w:pPr>
        <w:pStyle w:val="142"/>
        <w:ind w:firstLine="420"/>
        <w:rPr>
          <w:rFonts w:hint="eastAsia"/>
          <w:i w:val="0"/>
          <w:iCs w:val="0"/>
          <w:color w:val="auto"/>
          <w:sz w:val="21"/>
          <w:szCs w:val="15"/>
          <w:highlight w:val="none"/>
          <w:lang w:val="en-US"/>
        </w:rPr>
      </w:pPr>
      <w:bookmarkStart w:id="141" w:name="_Toc179431033"/>
      <w:bookmarkEnd w:id="141"/>
      <w:bookmarkStart w:id="142" w:name="_Toc179431035"/>
      <w:bookmarkEnd w:id="142"/>
      <w:bookmarkStart w:id="143" w:name="_Toc179431020"/>
      <w:bookmarkEnd w:id="143"/>
      <w:bookmarkStart w:id="144" w:name="_Toc179431034"/>
      <w:bookmarkEnd w:id="144"/>
      <w:bookmarkStart w:id="145" w:name="_Toc178600679"/>
      <w:bookmarkEnd w:id="145"/>
      <w:bookmarkStart w:id="146" w:name="_Toc179431018"/>
      <w:bookmarkEnd w:id="146"/>
      <w:bookmarkStart w:id="147" w:name="_Toc178600667"/>
      <w:bookmarkEnd w:id="147"/>
      <w:bookmarkStart w:id="148" w:name="_Toc178600666"/>
      <w:bookmarkEnd w:id="148"/>
      <w:bookmarkStart w:id="149" w:name="_Toc179431031"/>
      <w:bookmarkEnd w:id="149"/>
      <w:bookmarkStart w:id="150" w:name="_Toc179431027"/>
      <w:bookmarkEnd w:id="150"/>
      <w:bookmarkStart w:id="151" w:name="_Toc179431029"/>
      <w:bookmarkEnd w:id="151"/>
      <w:bookmarkStart w:id="152" w:name="_Toc178600664"/>
      <w:bookmarkEnd w:id="152"/>
      <w:bookmarkStart w:id="153" w:name="_Toc179431017"/>
      <w:bookmarkEnd w:id="153"/>
      <w:bookmarkStart w:id="154" w:name="_Toc179431022"/>
      <w:bookmarkEnd w:id="154"/>
      <w:bookmarkStart w:id="155" w:name="_Toc179431036"/>
      <w:bookmarkEnd w:id="155"/>
      <w:bookmarkStart w:id="156" w:name="_Toc178600669"/>
      <w:bookmarkEnd w:id="156"/>
      <w:bookmarkStart w:id="157" w:name="_Toc178600680"/>
      <w:bookmarkEnd w:id="157"/>
      <w:bookmarkStart w:id="158" w:name="_Toc179431024"/>
      <w:bookmarkEnd w:id="158"/>
      <w:bookmarkStart w:id="159" w:name="_Toc178600681"/>
      <w:bookmarkEnd w:id="159"/>
      <w:bookmarkStart w:id="160" w:name="_Toc178600684"/>
      <w:bookmarkEnd w:id="160"/>
      <w:bookmarkStart w:id="161" w:name="_Toc179431019"/>
      <w:bookmarkEnd w:id="161"/>
      <w:bookmarkStart w:id="162" w:name="_Toc178600670"/>
      <w:bookmarkEnd w:id="162"/>
      <w:bookmarkStart w:id="163" w:name="_Toc178600678"/>
      <w:bookmarkEnd w:id="163"/>
      <w:bookmarkStart w:id="164" w:name="_Toc179431028"/>
      <w:bookmarkEnd w:id="164"/>
      <w:bookmarkStart w:id="165" w:name="_Toc179431023"/>
      <w:bookmarkEnd w:id="165"/>
      <w:bookmarkStart w:id="166" w:name="_Toc179431030"/>
      <w:bookmarkEnd w:id="166"/>
      <w:bookmarkStart w:id="167" w:name="_Toc179431026"/>
      <w:bookmarkEnd w:id="167"/>
      <w:bookmarkStart w:id="168" w:name="_Toc178600668"/>
      <w:bookmarkEnd w:id="168"/>
      <w:bookmarkStart w:id="169" w:name="_Toc178600676"/>
      <w:bookmarkEnd w:id="169"/>
      <w:bookmarkStart w:id="170" w:name="_Toc178600672"/>
      <w:bookmarkEnd w:id="170"/>
      <w:bookmarkStart w:id="171" w:name="_Toc178600682"/>
      <w:bookmarkEnd w:id="171"/>
      <w:bookmarkStart w:id="172" w:name="_Toc178600674"/>
      <w:bookmarkEnd w:id="172"/>
      <w:bookmarkStart w:id="173" w:name="_Toc179431025"/>
      <w:bookmarkEnd w:id="173"/>
      <w:bookmarkStart w:id="174" w:name="_Toc178600677"/>
      <w:bookmarkEnd w:id="174"/>
      <w:bookmarkStart w:id="175" w:name="_Toc179431032"/>
      <w:bookmarkEnd w:id="175"/>
      <w:bookmarkStart w:id="176" w:name="_Toc178600675"/>
      <w:bookmarkEnd w:id="176"/>
      <w:bookmarkStart w:id="177" w:name="_Toc179431021"/>
      <w:bookmarkEnd w:id="177"/>
      <w:bookmarkStart w:id="178" w:name="_Toc178600671"/>
      <w:bookmarkEnd w:id="178"/>
      <w:bookmarkStart w:id="179" w:name="_Toc178600673"/>
      <w:bookmarkEnd w:id="179"/>
      <w:bookmarkStart w:id="180" w:name="_Toc178600665"/>
      <w:bookmarkEnd w:id="180"/>
      <w:bookmarkStart w:id="181" w:name="_Toc179431016"/>
      <w:bookmarkEnd w:id="181"/>
      <w:bookmarkStart w:id="182" w:name="_Toc178600683"/>
      <w:bookmarkEnd w:id="182"/>
      <w:r>
        <w:rPr>
          <w:rFonts w:hint="eastAsia"/>
          <w:i w:val="0"/>
          <w:iCs w:val="0"/>
          <w:color w:val="auto"/>
          <w:sz w:val="21"/>
          <w:szCs w:val="15"/>
          <w:highlight w:val="none"/>
          <w:lang w:val="en-US"/>
        </w:rPr>
        <w:t>系统应采用模块化设计，易于扩展。</w:t>
      </w:r>
    </w:p>
    <w:p w14:paraId="234F9A60">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系统设备和系统构成应采用高可靠性的产品，硬、软件技术先进、成熟且完全兼容，设备和软件应采用冗余设计，保证能全天候（7x24小时）不间断地安全、可靠、稳定运行。</w:t>
      </w:r>
    </w:p>
    <w:p w14:paraId="234F9A61">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系统应确保数据的实时性和完整性。</w:t>
      </w:r>
    </w:p>
    <w:p w14:paraId="234F9A62">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系统应保证信息安全和网络安全。</w:t>
      </w:r>
    </w:p>
    <w:p w14:paraId="234F9A63">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被集成和互联系统应能相对独立运行，即使脱离智慧地铁管控平台系统，也不影响其系统及所监控设备的运行安全。</w:t>
      </w:r>
    </w:p>
    <w:p w14:paraId="234F9A64">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全线各级系统适度预留远期扩展余量。</w:t>
      </w:r>
    </w:p>
    <w:p w14:paraId="234F9A65">
      <w:pPr>
        <w:pStyle w:val="3"/>
        <w:rPr>
          <w:i w:val="0"/>
          <w:iCs w:val="0"/>
          <w:color w:val="auto"/>
          <w:sz w:val="24"/>
          <w:szCs w:val="32"/>
          <w:highlight w:val="none"/>
        </w:rPr>
      </w:pPr>
      <w:bookmarkStart w:id="183" w:name="_Toc85528741"/>
      <w:bookmarkStart w:id="184" w:name="_Toc21113"/>
      <w:bookmarkStart w:id="185" w:name="_Toc93674752"/>
      <w:r>
        <w:rPr>
          <w:rFonts w:hint="eastAsia"/>
          <w:i w:val="0"/>
          <w:iCs w:val="0"/>
          <w:color w:val="auto"/>
          <w:sz w:val="24"/>
          <w:szCs w:val="32"/>
          <w:highlight w:val="none"/>
        </w:rPr>
        <w:t>国产化要求</w:t>
      </w:r>
      <w:bookmarkEnd w:id="183"/>
      <w:bookmarkEnd w:id="184"/>
      <w:bookmarkEnd w:id="185"/>
      <w:r>
        <w:rPr>
          <w:rFonts w:hint="eastAsia" w:ascii="Times New Roman" w:hAnsi="Times New Roman" w:cs="Times New Roman"/>
          <w:i w:val="0"/>
          <w:iCs w:val="0"/>
          <w:color w:val="auto"/>
          <w:sz w:val="24"/>
          <w:szCs w:val="32"/>
          <w:highlight w:val="none"/>
        </w:rPr>
        <w:t>★</w:t>
      </w:r>
    </w:p>
    <w:p w14:paraId="234F9A66">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提供国产化分析，并对具体设备国产化率进行统计，最终得出系统综合国产化率。</w:t>
      </w:r>
    </w:p>
    <w:p w14:paraId="234F9A67">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智慧地铁相关子应用的国产化包括硬件设备的国产化，软件平台国产化及系统集成实施国产化三方面。</w:t>
      </w:r>
    </w:p>
    <w:p w14:paraId="234F9A68">
      <w:pPr>
        <w:pStyle w:val="4"/>
        <w:rPr>
          <w:i w:val="0"/>
          <w:iCs w:val="0"/>
          <w:color w:val="auto"/>
          <w:sz w:val="24"/>
          <w:szCs w:val="21"/>
          <w:highlight w:val="none"/>
        </w:rPr>
      </w:pPr>
      <w:bookmarkStart w:id="186" w:name="_Toc15296"/>
      <w:bookmarkStart w:id="187" w:name="_Toc6160"/>
      <w:r>
        <w:rPr>
          <w:rFonts w:hint="eastAsia"/>
          <w:i w:val="0"/>
          <w:iCs w:val="0"/>
          <w:color w:val="auto"/>
          <w:sz w:val="24"/>
          <w:szCs w:val="21"/>
          <w:highlight w:val="none"/>
        </w:rPr>
        <w:t>硬件设备国产化</w:t>
      </w:r>
      <w:bookmarkEnd w:id="186"/>
      <w:bookmarkEnd w:id="187"/>
    </w:p>
    <w:p w14:paraId="234F9A69">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智慧地铁相关子应用的主要硬件包括服务器、工作站、以太网交换机、存储设备等。</w:t>
      </w:r>
    </w:p>
    <w:p w14:paraId="234F9A6A">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目前，国内已实施和在实施的智慧地铁采用的硬件设备中交换机、服务器等核心设备基本选用性能优良的产品品牌。</w:t>
      </w:r>
    </w:p>
    <w:p w14:paraId="234F9A6B">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智慧地铁相关子应用的硬件设备采用国产化是发展的方向，其核心设备服务器、交换机应选用性能优良的知名品牌产品，在国内品牌满足要求时优先考虑国产品牌，其他设备优先选用国产品牌。</w:t>
      </w:r>
    </w:p>
    <w:p w14:paraId="234F9A6C">
      <w:pPr>
        <w:pStyle w:val="4"/>
        <w:rPr>
          <w:i w:val="0"/>
          <w:iCs w:val="0"/>
          <w:color w:val="auto"/>
          <w:sz w:val="24"/>
          <w:szCs w:val="21"/>
          <w:highlight w:val="none"/>
        </w:rPr>
      </w:pPr>
      <w:bookmarkStart w:id="188" w:name="_Toc14849"/>
      <w:bookmarkStart w:id="189" w:name="_Toc21775"/>
      <w:r>
        <w:rPr>
          <w:rFonts w:hint="eastAsia"/>
          <w:i w:val="0"/>
          <w:iCs w:val="0"/>
          <w:color w:val="auto"/>
          <w:sz w:val="24"/>
          <w:szCs w:val="21"/>
          <w:highlight w:val="none"/>
        </w:rPr>
        <w:t>软件平台国产化</w:t>
      </w:r>
      <w:bookmarkEnd w:id="188"/>
      <w:bookmarkEnd w:id="189"/>
    </w:p>
    <w:p w14:paraId="234F9A6D">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目前，智慧地铁</w:t>
      </w:r>
      <w:r>
        <w:rPr>
          <w:rFonts w:hint="eastAsia"/>
          <w:i w:val="0"/>
          <w:iCs w:val="0"/>
          <w:color w:val="auto"/>
          <w:sz w:val="21"/>
          <w:szCs w:val="15"/>
          <w:highlight w:val="none"/>
          <w:lang w:val="en-US" w:eastAsia="zh-CN"/>
        </w:rPr>
        <w:t>（建设期）</w:t>
      </w:r>
      <w:r>
        <w:rPr>
          <w:rFonts w:hint="eastAsia"/>
          <w:i w:val="0"/>
          <w:iCs w:val="0"/>
          <w:color w:val="auto"/>
          <w:sz w:val="21"/>
          <w:szCs w:val="15"/>
          <w:highlight w:val="none"/>
          <w:lang w:val="en-US"/>
        </w:rPr>
        <w:t>安全生产网云平台已经投入生产，本期云平台建设内容仅对</w:t>
      </w:r>
      <w:r>
        <w:rPr>
          <w:rFonts w:hint="eastAsia"/>
          <w:i w:val="0"/>
          <w:iCs w:val="0"/>
          <w:color w:val="auto"/>
          <w:sz w:val="21"/>
          <w:szCs w:val="15"/>
          <w:highlight w:val="none"/>
          <w:lang w:val="en-US" w:eastAsia="zh-CN"/>
        </w:rPr>
        <w:t>建设期</w:t>
      </w:r>
      <w:r>
        <w:rPr>
          <w:rFonts w:hint="eastAsia"/>
          <w:i w:val="0"/>
          <w:iCs w:val="0"/>
          <w:color w:val="auto"/>
          <w:sz w:val="21"/>
          <w:szCs w:val="15"/>
          <w:highlight w:val="none"/>
          <w:lang w:val="en-US"/>
        </w:rPr>
        <w:t>安全生产网云平台进行计算、存储资源</w:t>
      </w:r>
      <w:r>
        <w:rPr>
          <w:rFonts w:hint="eastAsia"/>
          <w:i w:val="0"/>
          <w:iCs w:val="0"/>
          <w:color w:val="auto"/>
          <w:sz w:val="21"/>
          <w:szCs w:val="15"/>
          <w:highlight w:val="none"/>
          <w:lang w:val="en-US" w:eastAsia="zh-CN"/>
        </w:rPr>
        <w:t>扩容</w:t>
      </w:r>
      <w:r>
        <w:rPr>
          <w:rFonts w:hint="eastAsia"/>
          <w:i w:val="0"/>
          <w:iCs w:val="0"/>
          <w:color w:val="auto"/>
          <w:sz w:val="21"/>
          <w:szCs w:val="15"/>
          <w:highlight w:val="none"/>
          <w:lang w:val="en-US"/>
        </w:rPr>
        <w:t>；本期云平台</w:t>
      </w:r>
      <w:r>
        <w:rPr>
          <w:rFonts w:hint="eastAsia"/>
          <w:i w:val="0"/>
          <w:iCs w:val="0"/>
          <w:color w:val="auto"/>
          <w:sz w:val="21"/>
          <w:szCs w:val="15"/>
          <w:highlight w:val="none"/>
          <w:lang w:val="en-US" w:eastAsia="zh-CN"/>
        </w:rPr>
        <w:t>计算、存储资源需要的</w:t>
      </w:r>
      <w:r>
        <w:rPr>
          <w:rFonts w:hint="eastAsia"/>
          <w:i w:val="0"/>
          <w:iCs w:val="0"/>
          <w:color w:val="auto"/>
          <w:sz w:val="21"/>
          <w:szCs w:val="15"/>
          <w:highlight w:val="none"/>
          <w:lang w:val="en-US"/>
        </w:rPr>
        <w:t>云管软件、安全管理软件</w:t>
      </w:r>
      <w:r>
        <w:rPr>
          <w:rFonts w:hint="eastAsia"/>
          <w:i w:val="0"/>
          <w:iCs w:val="0"/>
          <w:color w:val="auto"/>
          <w:sz w:val="21"/>
          <w:szCs w:val="15"/>
          <w:highlight w:val="none"/>
          <w:lang w:val="en-US" w:eastAsia="zh-CN"/>
        </w:rPr>
        <w:t>，需在建设期云平台对应资源上</w:t>
      </w:r>
      <w:r>
        <w:rPr>
          <w:rFonts w:hint="eastAsia"/>
          <w:i w:val="0"/>
          <w:iCs w:val="0"/>
          <w:color w:val="auto"/>
          <w:sz w:val="21"/>
          <w:szCs w:val="15"/>
          <w:highlight w:val="none"/>
          <w:lang w:val="en-US"/>
        </w:rPr>
        <w:t>进行扩容</w:t>
      </w:r>
      <w:r>
        <w:rPr>
          <w:rFonts w:hint="eastAsia"/>
          <w:i w:val="0"/>
          <w:iCs w:val="0"/>
          <w:color w:val="auto"/>
          <w:sz w:val="21"/>
          <w:szCs w:val="15"/>
          <w:highlight w:val="none"/>
          <w:lang w:val="en-US" w:eastAsia="zh-CN"/>
        </w:rPr>
        <w:t>，以</w:t>
      </w:r>
      <w:r>
        <w:rPr>
          <w:rFonts w:hint="eastAsia"/>
          <w:i w:val="0"/>
          <w:iCs w:val="0"/>
          <w:color w:val="auto"/>
          <w:sz w:val="21"/>
          <w:szCs w:val="15"/>
          <w:highlight w:val="none"/>
          <w:lang w:val="en-US"/>
        </w:rPr>
        <w:t>满足</w:t>
      </w:r>
      <w:r>
        <w:rPr>
          <w:rFonts w:hint="eastAsia"/>
          <w:i w:val="0"/>
          <w:iCs w:val="0"/>
          <w:color w:val="auto"/>
          <w:sz w:val="21"/>
          <w:szCs w:val="15"/>
          <w:highlight w:val="none"/>
          <w:lang w:val="en-US" w:eastAsia="zh-CN"/>
        </w:rPr>
        <w:t>运营期</w:t>
      </w:r>
      <w:r>
        <w:rPr>
          <w:rFonts w:hint="eastAsia"/>
          <w:i w:val="0"/>
          <w:iCs w:val="0"/>
          <w:color w:val="auto"/>
          <w:sz w:val="21"/>
          <w:szCs w:val="15"/>
          <w:highlight w:val="none"/>
          <w:lang w:val="en-US"/>
        </w:rPr>
        <w:t>云平台建设需求。</w:t>
      </w:r>
    </w:p>
    <w:p w14:paraId="234F9A6E">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管理网云平台，进行计算、存储、网络资源建设，网管平台及信息安全相关应用，均采用国产化系统软件。</w:t>
      </w:r>
    </w:p>
    <w:p w14:paraId="234F9A6F">
      <w:pPr>
        <w:pStyle w:val="4"/>
        <w:rPr>
          <w:i w:val="0"/>
          <w:iCs w:val="0"/>
          <w:color w:val="auto"/>
          <w:sz w:val="24"/>
          <w:szCs w:val="21"/>
          <w:highlight w:val="none"/>
        </w:rPr>
      </w:pPr>
      <w:bookmarkStart w:id="190" w:name="_Toc22033"/>
      <w:bookmarkStart w:id="191" w:name="_Toc8128"/>
      <w:r>
        <w:rPr>
          <w:rFonts w:hint="eastAsia"/>
          <w:i w:val="0"/>
          <w:iCs w:val="0"/>
          <w:color w:val="auto"/>
          <w:sz w:val="24"/>
          <w:szCs w:val="21"/>
          <w:highlight w:val="none"/>
        </w:rPr>
        <w:t>系统集成实施国产化</w:t>
      </w:r>
      <w:bookmarkEnd w:id="190"/>
      <w:bookmarkEnd w:id="191"/>
    </w:p>
    <w:p w14:paraId="234F9A70">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目前，长沙市轨道交通6号线智慧地铁建设工程（运营期）项目各应用为满足用户需求，具有高定制化特点，其集成实施方式主要为国内系统集成方式，主要是结合国内软件平台国产化发展而产生的有利于降低成本的系统集成方式。考虑到系统集成是智慧地铁实施最为关键的环节，必须保证系统的稳定性和实用性。</w:t>
      </w:r>
    </w:p>
    <w:p w14:paraId="234F9A71">
      <w:pPr>
        <w:pStyle w:val="142"/>
        <w:ind w:firstLine="420"/>
        <w:rPr>
          <w:rFonts w:hint="eastAsia"/>
          <w:i w:val="0"/>
          <w:iCs w:val="0"/>
          <w:color w:val="auto"/>
          <w:sz w:val="21"/>
          <w:szCs w:val="15"/>
          <w:highlight w:val="none"/>
          <w:lang w:val="en-US"/>
        </w:rPr>
      </w:pPr>
      <w:r>
        <w:rPr>
          <w:rFonts w:hint="eastAsia"/>
          <w:i w:val="0"/>
          <w:iCs w:val="0"/>
          <w:color w:val="auto"/>
          <w:sz w:val="21"/>
          <w:szCs w:val="15"/>
          <w:highlight w:val="none"/>
          <w:lang w:val="en-US"/>
        </w:rPr>
        <w:t>综上所述，</w:t>
      </w:r>
      <w:r>
        <w:rPr>
          <w:rFonts w:hint="eastAsia"/>
          <w:i w:val="0"/>
          <w:iCs w:val="0"/>
          <w:color w:val="auto"/>
          <w:sz w:val="21"/>
          <w:szCs w:val="15"/>
          <w:highlight w:val="none"/>
          <w:lang w:val="en-US" w:eastAsia="zh-CN"/>
        </w:rPr>
        <w:t>本项目需</w:t>
      </w:r>
      <w:r>
        <w:rPr>
          <w:rFonts w:hint="eastAsia"/>
          <w:i w:val="0"/>
          <w:iCs w:val="0"/>
          <w:color w:val="auto"/>
          <w:sz w:val="21"/>
          <w:szCs w:val="15"/>
          <w:highlight w:val="none"/>
          <w:lang w:val="en-US"/>
        </w:rPr>
        <w:t>保证系统国产化率不低于90%。</w:t>
      </w:r>
    </w:p>
    <w:p w14:paraId="234F9A72">
      <w:pPr>
        <w:pStyle w:val="3"/>
        <w:rPr>
          <w:i w:val="0"/>
          <w:iCs w:val="0"/>
          <w:color w:val="auto"/>
          <w:sz w:val="24"/>
          <w:szCs w:val="32"/>
          <w:highlight w:val="none"/>
        </w:rPr>
      </w:pPr>
      <w:bookmarkStart w:id="192" w:name="_Toc24768"/>
      <w:r>
        <w:rPr>
          <w:rFonts w:hint="eastAsia"/>
          <w:i w:val="0"/>
          <w:iCs w:val="0"/>
          <w:color w:val="auto"/>
          <w:sz w:val="24"/>
          <w:szCs w:val="32"/>
          <w:highlight w:val="none"/>
        </w:rPr>
        <w:t>工程投标要求</w:t>
      </w:r>
      <w:bookmarkEnd w:id="192"/>
      <w:r>
        <w:rPr>
          <w:rFonts w:hint="eastAsia" w:ascii="Times New Roman" w:hAnsi="Times New Roman" w:cs="Times New Roman"/>
          <w:i w:val="0"/>
          <w:iCs w:val="0"/>
          <w:color w:val="auto"/>
          <w:sz w:val="24"/>
          <w:szCs w:val="32"/>
          <w:highlight w:val="none"/>
        </w:rPr>
        <w:t>★</w:t>
      </w:r>
    </w:p>
    <w:p w14:paraId="234F9A73">
      <w:pPr>
        <w:pStyle w:val="4"/>
        <w:rPr>
          <w:i w:val="0"/>
          <w:iCs w:val="0"/>
          <w:color w:val="auto"/>
          <w:sz w:val="24"/>
          <w:szCs w:val="21"/>
          <w:highlight w:val="none"/>
        </w:rPr>
      </w:pPr>
      <w:bookmarkStart w:id="193" w:name="_Toc93674754"/>
      <w:bookmarkStart w:id="194" w:name="_Toc117846340"/>
      <w:bookmarkStart w:id="195" w:name="_Toc107390416"/>
      <w:bookmarkStart w:id="196" w:name="_Toc107813572"/>
      <w:bookmarkStart w:id="197" w:name="_Toc106520869"/>
      <w:bookmarkStart w:id="198" w:name="_Toc85528743"/>
      <w:bookmarkStart w:id="199" w:name="_Toc107807787"/>
      <w:bookmarkStart w:id="200" w:name="_Toc2101"/>
      <w:bookmarkStart w:id="201" w:name="_Toc107810074"/>
      <w:bookmarkStart w:id="202" w:name="_Toc106562048"/>
      <w:bookmarkStart w:id="203" w:name="_Toc108242787"/>
      <w:bookmarkStart w:id="204" w:name="_Toc106621016"/>
      <w:bookmarkStart w:id="205" w:name="_Toc173314676"/>
      <w:r>
        <w:rPr>
          <w:rFonts w:hint="eastAsia"/>
          <w:i w:val="0"/>
          <w:iCs w:val="0"/>
          <w:color w:val="auto"/>
          <w:sz w:val="24"/>
          <w:szCs w:val="21"/>
          <w:highlight w:val="none"/>
        </w:rPr>
        <w:t>投标响应要求</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234F9A7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要求投标文件章节与招标文件一致，且完全逐条响应，所有指标以数字形式提出的均按数字形式应答。</w:t>
      </w:r>
    </w:p>
    <w:p w14:paraId="234F9A7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对于招标文件中要求投标人专题回答的所有问题，投标人应以专题的形式重点论述（单独成册-专题册）。</w:t>
      </w:r>
    </w:p>
    <w:p w14:paraId="234F9A7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本招标文件所提的技术要求仅为基本的技术要求，不应理解为完整的技术要求，投标人应按本招标文件的技术要求和投标人的工程经验协助招标人进行完善。</w:t>
      </w:r>
    </w:p>
    <w:p w14:paraId="234F9A77">
      <w:pPr>
        <w:pStyle w:val="142"/>
        <w:ind w:firstLine="420"/>
        <w:rPr>
          <w:i w:val="0"/>
          <w:iCs w:val="0"/>
          <w:color w:val="auto"/>
          <w:sz w:val="21"/>
          <w:szCs w:val="15"/>
          <w:highlight w:val="none"/>
          <w:lang w:val="en-US"/>
        </w:rPr>
      </w:pPr>
      <w:r>
        <w:rPr>
          <w:rFonts w:hint="eastAsia"/>
          <w:i w:val="0"/>
          <w:iCs w:val="0"/>
          <w:color w:val="auto"/>
          <w:sz w:val="21"/>
          <w:szCs w:val="15"/>
          <w:highlight w:val="none"/>
          <w:lang w:val="en-US" w:eastAsia="zh-CN"/>
        </w:rPr>
        <w:t>投标人提供的所有硬件应该是性能可靠、技术先进、与其软件完全兼容且满足系统性能指标的产品。在项目实施过程中如发现投标人所提供的设备不满足兼容性、性能指标、稳定性、可靠性、先进性等相关要求，招标人保留对本工程所采购设备品牌、型号、规格等进行调整的权利，投标人须承诺此相关调整不引起任何费用变化。</w:t>
      </w:r>
    </w:p>
    <w:p w14:paraId="234F9A7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投标人提供的设备、安装中所使用的设备、材料、布线方法、安装工艺、调试开通及验收等，均应符合国家的规范和标准。</w:t>
      </w:r>
    </w:p>
    <w:p w14:paraId="234F9A79">
      <w:pPr>
        <w:pStyle w:val="142"/>
        <w:ind w:firstLine="420"/>
        <w:rPr>
          <w:i w:val="0"/>
          <w:iCs w:val="0"/>
          <w:color w:val="auto"/>
          <w:sz w:val="21"/>
          <w:szCs w:val="15"/>
          <w:highlight w:val="none"/>
          <w:lang w:val="en-US"/>
        </w:rPr>
      </w:pPr>
      <w:r>
        <w:rPr>
          <w:rFonts w:hint="eastAsia"/>
          <w:i w:val="0"/>
          <w:iCs w:val="0"/>
          <w:color w:val="auto"/>
          <w:sz w:val="21"/>
          <w:szCs w:val="15"/>
          <w:highlight w:val="none"/>
          <w:lang w:val="en-US" w:eastAsia="zh-CN"/>
        </w:rPr>
        <w:t>投标人为本工程提供的所有设备、系统、软硬件、材料、安装工程必须以长沙市气候环境温度为环境条件确定制造标准，且在长沙市气候环境条件下的安全可靠运行。在本工程竣工交接前，如因气象条件恶劣于本文件中相关数据或者其它原因引起的本工程所有设备系统（含软硬件）无法达到相关技术要求或者造成损坏，投标人应在正式交接前负责更换和维修，由此产生的任何费用均已含在投标报价中。</w:t>
      </w:r>
    </w:p>
    <w:p w14:paraId="234F9A7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本招标文件提供系统硬件和软件的选型原则、基本要求、系统配置和基本功能要求。投标人应根据要求配置系统及设备，提供实施方案的分析和依据，并提供计算过程和方法，同时要求完善系统的各项功能。</w:t>
      </w:r>
    </w:p>
    <w:p w14:paraId="234F9A7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提供的系统技术规格至少不低于招标文件中提出的要求，必须提供详细的技术资料，如投标人没有以书面形式对本招标文件提出异议，则意味着投标人所提供的系统完全符合本招标文件的要求，如有异议，投标人应在投标书中详细列出技术规格偏差表，并以“对文件的意见和同需求书的差异”为题在投标偏差说明的相应章节中加以详细描述。</w:t>
      </w:r>
    </w:p>
    <w:p w14:paraId="234F9A7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投标人必须对系统的完整性、安全性、独立性、可靠性、稳定性、实时性、实用性、可扩展性、开放性、兼容性、可维护性、经济性、工程可实施性承担完全责任。</w:t>
      </w:r>
    </w:p>
    <w:p w14:paraId="234F9A7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投标人应保证整个系统的服务质量，并按招标人规定的工程进度完成各阶段的工作，服从招标人对整个工程实施和管理的协调。</w:t>
      </w:r>
    </w:p>
    <w:p w14:paraId="234F9A7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考虑到系统工期紧、集成和互联的系统接口多的特点，在工程实施至质量保证期过程中存在的不确定因素较多，可能会造成一些数据点的修改、站名更改、画面调整、设备名称和编号等系统变动，投标人应仔细分析并充分考虑此方面的风险，相关工作被认为已包含在本次投标报价中，项目实施过程中不得引起任何费用变化。</w:t>
      </w:r>
    </w:p>
    <w:p w14:paraId="234F9A7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本招标文件提供的设备、材料清单仅作为招标使用，仅供投标人投标时参考，投标人应根据工程的实际需要以及投标人的工程经验进行详细核算并完善相关内容。</w:t>
      </w:r>
    </w:p>
    <w:p w14:paraId="234F9A8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报价应将所有的工程内容考虑在内，如有漏项或缺项，均属于投标人的风险。投标人应逐项计算并填写单价、合价和总价，投标人没有填写单价和合价的项目将被认为此项目所涉及的全部费用已包含在其他相关项目及投标总价中。</w:t>
      </w:r>
    </w:p>
    <w:p w14:paraId="234F9A81">
      <w:pPr>
        <w:pStyle w:val="4"/>
        <w:rPr>
          <w:i w:val="0"/>
          <w:iCs w:val="0"/>
          <w:color w:val="auto"/>
          <w:sz w:val="24"/>
          <w:szCs w:val="21"/>
          <w:highlight w:val="none"/>
        </w:rPr>
      </w:pPr>
      <w:bookmarkStart w:id="206" w:name="_Toc20202"/>
      <w:r>
        <w:rPr>
          <w:rFonts w:hint="eastAsia"/>
          <w:i w:val="0"/>
          <w:iCs w:val="0"/>
          <w:color w:val="auto"/>
          <w:sz w:val="24"/>
          <w:szCs w:val="21"/>
          <w:highlight w:val="none"/>
        </w:rPr>
        <w:t>总体工期要求</w:t>
      </w:r>
      <w:bookmarkEnd w:id="206"/>
    </w:p>
    <w:p w14:paraId="234F9A8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工程实施主要包括以下阶段：</w:t>
      </w:r>
    </w:p>
    <w:p w14:paraId="234F9A83">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设计（包括设计联络和确认）</w:t>
      </w:r>
    </w:p>
    <w:p w14:paraId="234F9A84">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制造（包括工厂试验和出厂检验）</w:t>
      </w:r>
    </w:p>
    <w:p w14:paraId="234F9A85">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包装运输（包括到货检查）</w:t>
      </w:r>
    </w:p>
    <w:p w14:paraId="234F9A86">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施工安装</w:t>
      </w:r>
    </w:p>
    <w:p w14:paraId="234F9A87">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完工测试（包括单机测试、系统测试）</w:t>
      </w:r>
    </w:p>
    <w:p w14:paraId="234F9A88">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子系统调试</w:t>
      </w:r>
    </w:p>
    <w:p w14:paraId="234F9A89">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联调调试</w:t>
      </w:r>
    </w:p>
    <w:p w14:paraId="234F9A8A">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稳定性测试</w:t>
      </w:r>
    </w:p>
    <w:p w14:paraId="234F9A8B">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生产云平台拓展接入测试</w:t>
      </w:r>
    </w:p>
    <w:p w14:paraId="234F9A8C">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管理网云平台系统迁移测试</w:t>
      </w:r>
    </w:p>
    <w:p w14:paraId="234F9A8D">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试运营</w:t>
      </w:r>
    </w:p>
    <w:p w14:paraId="234F9A8E">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竣工验收</w:t>
      </w:r>
    </w:p>
    <w:p w14:paraId="234F9A8F">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eastAsia="zh-CN"/>
        </w:rPr>
        <w:t>质保</w:t>
      </w:r>
      <w:r>
        <w:rPr>
          <w:rFonts w:hint="eastAsia"/>
          <w:i w:val="0"/>
          <w:iCs w:val="0"/>
          <w:color w:val="auto"/>
          <w:sz w:val="21"/>
          <w:szCs w:val="15"/>
          <w:highlight w:val="none"/>
          <w:lang w:val="en-US"/>
        </w:rPr>
        <w:t>期</w:t>
      </w:r>
    </w:p>
    <w:p w14:paraId="234F9A90">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培训（包括工厂培训和现场培训）</w:t>
      </w:r>
    </w:p>
    <w:p w14:paraId="234F9A91">
      <w:pPr>
        <w:pStyle w:val="142"/>
        <w:numPr>
          <w:ilvl w:val="0"/>
          <w:numId w:val="31"/>
        </w:numPr>
        <w:ind w:firstLineChars="0"/>
        <w:rPr>
          <w:i w:val="0"/>
          <w:iCs w:val="0"/>
          <w:color w:val="auto"/>
          <w:sz w:val="21"/>
          <w:szCs w:val="15"/>
          <w:highlight w:val="none"/>
          <w:lang w:val="en-US"/>
        </w:rPr>
      </w:pPr>
      <w:r>
        <w:rPr>
          <w:rFonts w:hint="eastAsia"/>
          <w:i w:val="0"/>
          <w:iCs w:val="0"/>
          <w:color w:val="auto"/>
          <w:sz w:val="21"/>
          <w:szCs w:val="15"/>
          <w:highlight w:val="none"/>
          <w:lang w:val="en-US"/>
        </w:rPr>
        <w:t>完善提高</w:t>
      </w:r>
    </w:p>
    <w:p w14:paraId="234F9A9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全线系统所有接口进行永久设计，无过渡方案。</w:t>
      </w:r>
    </w:p>
    <w:p w14:paraId="234F9A9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全线系统车站级（含车辆段）功能和中央级功能应全部调试验收完成。</w:t>
      </w:r>
    </w:p>
    <w:p w14:paraId="234F9A94">
      <w:pPr>
        <w:pStyle w:val="4"/>
        <w:rPr>
          <w:i w:val="0"/>
          <w:iCs w:val="0"/>
          <w:color w:val="auto"/>
          <w:sz w:val="24"/>
          <w:szCs w:val="21"/>
          <w:highlight w:val="none"/>
        </w:rPr>
      </w:pPr>
      <w:bookmarkStart w:id="207" w:name="_Toc216189542"/>
      <w:bookmarkEnd w:id="207"/>
      <w:bookmarkStart w:id="208" w:name="_Toc216189185"/>
      <w:bookmarkEnd w:id="208"/>
      <w:bookmarkStart w:id="209" w:name="_Toc216177649"/>
      <w:bookmarkEnd w:id="209"/>
      <w:bookmarkStart w:id="210" w:name="_Toc216189543"/>
      <w:bookmarkEnd w:id="210"/>
      <w:bookmarkStart w:id="211" w:name="_Toc216189541"/>
      <w:bookmarkEnd w:id="211"/>
      <w:bookmarkStart w:id="212" w:name="_Toc216177648"/>
      <w:bookmarkEnd w:id="212"/>
      <w:bookmarkStart w:id="213" w:name="_Toc216177647"/>
      <w:bookmarkEnd w:id="213"/>
      <w:bookmarkStart w:id="214" w:name="_Toc216189183"/>
      <w:bookmarkEnd w:id="214"/>
      <w:bookmarkStart w:id="215" w:name="_Toc216177646"/>
      <w:bookmarkEnd w:id="215"/>
      <w:bookmarkStart w:id="216" w:name="_Toc216189540"/>
      <w:bookmarkEnd w:id="216"/>
      <w:bookmarkStart w:id="217" w:name="_Toc216189184"/>
      <w:bookmarkEnd w:id="217"/>
      <w:bookmarkStart w:id="218" w:name="_Toc216189182"/>
      <w:bookmarkEnd w:id="218"/>
      <w:bookmarkStart w:id="219" w:name="_Toc93674758"/>
      <w:bookmarkStart w:id="220" w:name="_Toc3649"/>
      <w:r>
        <w:rPr>
          <w:rFonts w:hint="eastAsia"/>
          <w:i w:val="0"/>
          <w:iCs w:val="0"/>
          <w:color w:val="auto"/>
          <w:sz w:val="24"/>
          <w:szCs w:val="21"/>
          <w:highlight w:val="none"/>
        </w:rPr>
        <w:t>关键工期安排</w:t>
      </w:r>
      <w:bookmarkEnd w:id="219"/>
      <w:bookmarkEnd w:id="220"/>
    </w:p>
    <w:p w14:paraId="234F9A9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根据整体工期要求节点，长沙市轨道交通6号线智慧地铁建设工程（运营期）项目做如下计划：</w:t>
      </w:r>
    </w:p>
    <w:tbl>
      <w:tblPr>
        <w:tblStyle w:val="88"/>
        <w:tblW w:w="0" w:type="auto"/>
        <w:tblInd w:w="279" w:type="dxa"/>
        <w:tblLayout w:type="fixed"/>
        <w:tblCellMar>
          <w:top w:w="0" w:type="dxa"/>
          <w:left w:w="0" w:type="dxa"/>
          <w:bottom w:w="0" w:type="dxa"/>
          <w:right w:w="0" w:type="dxa"/>
        </w:tblCellMar>
      </w:tblPr>
      <w:tblGrid>
        <w:gridCol w:w="3966"/>
        <w:gridCol w:w="3495"/>
      </w:tblGrid>
      <w:tr w14:paraId="234F9A98">
        <w:tblPrEx>
          <w:tblCellMar>
            <w:top w:w="0" w:type="dxa"/>
            <w:left w:w="0" w:type="dxa"/>
            <w:bottom w:w="0" w:type="dxa"/>
            <w:right w:w="0" w:type="dxa"/>
          </w:tblCellMar>
        </w:tblPrEx>
        <w:trPr>
          <w:trHeight w:val="599" w:hRule="atLeast"/>
        </w:trPr>
        <w:tc>
          <w:tcPr>
            <w:tcW w:w="3966" w:type="dxa"/>
            <w:tcBorders>
              <w:top w:val="single" w:color="000000" w:sz="6" w:space="0"/>
              <w:left w:val="single" w:color="000000" w:sz="6" w:space="0"/>
              <w:right w:val="single" w:color="000000" w:sz="6" w:space="0"/>
            </w:tcBorders>
            <w:vAlign w:val="center"/>
          </w:tcPr>
          <w:p w14:paraId="234F9A96">
            <w:pPr>
              <w:pStyle w:val="143"/>
              <w:rPr>
                <w:i w:val="0"/>
                <w:iCs w:val="0"/>
                <w:color w:val="auto"/>
                <w:sz w:val="22"/>
                <w:szCs w:val="18"/>
                <w:highlight w:val="none"/>
              </w:rPr>
            </w:pPr>
            <w:r>
              <w:rPr>
                <w:rFonts w:hint="eastAsia"/>
                <w:i w:val="0"/>
                <w:iCs w:val="0"/>
                <w:color w:val="auto"/>
                <w:sz w:val="22"/>
                <w:szCs w:val="18"/>
                <w:highlight w:val="none"/>
              </w:rPr>
              <w:t>阶段名称</w:t>
            </w:r>
          </w:p>
        </w:tc>
        <w:tc>
          <w:tcPr>
            <w:tcW w:w="3495" w:type="dxa"/>
            <w:tcBorders>
              <w:top w:val="single" w:color="000000" w:sz="6" w:space="0"/>
              <w:left w:val="single" w:color="000000" w:sz="6" w:space="0"/>
              <w:bottom w:val="single" w:color="000000" w:sz="6" w:space="0"/>
              <w:right w:val="single" w:color="000000" w:sz="6" w:space="0"/>
            </w:tcBorders>
            <w:vAlign w:val="center"/>
          </w:tcPr>
          <w:p w14:paraId="234F9A97">
            <w:pPr>
              <w:pStyle w:val="143"/>
              <w:rPr>
                <w:i w:val="0"/>
                <w:iCs w:val="0"/>
                <w:color w:val="auto"/>
                <w:sz w:val="22"/>
                <w:szCs w:val="18"/>
                <w:highlight w:val="none"/>
              </w:rPr>
            </w:pPr>
            <w:r>
              <w:rPr>
                <w:rFonts w:hint="eastAsia"/>
                <w:i w:val="0"/>
                <w:iCs w:val="0"/>
                <w:color w:val="auto"/>
                <w:sz w:val="22"/>
                <w:szCs w:val="18"/>
                <w:highlight w:val="none"/>
              </w:rPr>
              <w:t>完成周期</w:t>
            </w:r>
          </w:p>
        </w:tc>
      </w:tr>
      <w:tr w14:paraId="234F9A9B">
        <w:tblPrEx>
          <w:tblCellMar>
            <w:top w:w="0" w:type="dxa"/>
            <w:left w:w="0" w:type="dxa"/>
            <w:bottom w:w="0" w:type="dxa"/>
            <w:right w:w="0" w:type="dxa"/>
          </w:tblCellMar>
        </w:tblPrEx>
        <w:trPr>
          <w:trHeight w:val="725" w:hRule="exact"/>
        </w:trPr>
        <w:tc>
          <w:tcPr>
            <w:tcW w:w="3966" w:type="dxa"/>
            <w:tcBorders>
              <w:top w:val="single" w:color="000000" w:sz="6" w:space="0"/>
              <w:left w:val="single" w:color="000000" w:sz="6" w:space="0"/>
              <w:bottom w:val="single" w:color="000000" w:sz="6" w:space="0"/>
              <w:right w:val="single" w:color="000000" w:sz="6" w:space="0"/>
            </w:tcBorders>
            <w:vAlign w:val="center"/>
          </w:tcPr>
          <w:p w14:paraId="234F9A99">
            <w:pPr>
              <w:pStyle w:val="143"/>
              <w:rPr>
                <w:i w:val="0"/>
                <w:iCs w:val="0"/>
                <w:color w:val="auto"/>
                <w:sz w:val="22"/>
                <w:szCs w:val="18"/>
                <w:highlight w:val="none"/>
              </w:rPr>
            </w:pPr>
            <w:r>
              <w:rPr>
                <w:rFonts w:hint="eastAsia"/>
                <w:i w:val="0"/>
                <w:iCs w:val="0"/>
                <w:color w:val="auto"/>
                <w:sz w:val="22"/>
                <w:szCs w:val="18"/>
                <w:highlight w:val="none"/>
              </w:rPr>
              <w:t>完成设计联络</w:t>
            </w:r>
          </w:p>
        </w:tc>
        <w:tc>
          <w:tcPr>
            <w:tcW w:w="3495" w:type="dxa"/>
            <w:tcBorders>
              <w:top w:val="single" w:color="000000" w:sz="6" w:space="0"/>
              <w:left w:val="single" w:color="000000" w:sz="6" w:space="0"/>
              <w:bottom w:val="single" w:color="000000" w:sz="6" w:space="0"/>
              <w:right w:val="single" w:color="000000" w:sz="6" w:space="0"/>
            </w:tcBorders>
            <w:vAlign w:val="center"/>
          </w:tcPr>
          <w:p w14:paraId="234F9A9A">
            <w:pPr>
              <w:pStyle w:val="143"/>
              <w:rPr>
                <w:i w:val="0"/>
                <w:iCs w:val="0"/>
                <w:color w:val="auto"/>
                <w:sz w:val="22"/>
                <w:szCs w:val="18"/>
                <w:highlight w:val="none"/>
              </w:rPr>
            </w:pPr>
            <w:r>
              <w:rPr>
                <w:rFonts w:hint="eastAsia"/>
                <w:i w:val="0"/>
                <w:iCs w:val="0"/>
                <w:color w:val="auto"/>
                <w:sz w:val="22"/>
                <w:szCs w:val="18"/>
                <w:highlight w:val="none"/>
              </w:rPr>
              <w:t>45天</w:t>
            </w:r>
          </w:p>
        </w:tc>
      </w:tr>
      <w:tr w14:paraId="234F9A9E">
        <w:tblPrEx>
          <w:tblCellMar>
            <w:top w:w="0" w:type="dxa"/>
            <w:left w:w="0" w:type="dxa"/>
            <w:bottom w:w="0" w:type="dxa"/>
            <w:right w:w="0" w:type="dxa"/>
          </w:tblCellMar>
        </w:tblPrEx>
        <w:trPr>
          <w:trHeight w:val="725" w:hRule="exact"/>
        </w:trPr>
        <w:tc>
          <w:tcPr>
            <w:tcW w:w="3966" w:type="dxa"/>
            <w:tcBorders>
              <w:top w:val="single" w:color="000000" w:sz="6" w:space="0"/>
              <w:left w:val="single" w:color="000000" w:sz="6" w:space="0"/>
              <w:bottom w:val="single" w:color="000000" w:sz="6" w:space="0"/>
              <w:right w:val="single" w:color="000000" w:sz="6" w:space="0"/>
            </w:tcBorders>
            <w:vAlign w:val="center"/>
          </w:tcPr>
          <w:p w14:paraId="234F9A9C">
            <w:pPr>
              <w:pStyle w:val="143"/>
              <w:rPr>
                <w:i w:val="0"/>
                <w:iCs w:val="0"/>
                <w:color w:val="auto"/>
                <w:sz w:val="22"/>
                <w:szCs w:val="18"/>
                <w:highlight w:val="none"/>
              </w:rPr>
            </w:pPr>
            <w:r>
              <w:rPr>
                <w:rFonts w:hint="eastAsia"/>
                <w:i w:val="0"/>
                <w:iCs w:val="0"/>
                <w:color w:val="auto"/>
                <w:sz w:val="22"/>
                <w:szCs w:val="18"/>
                <w:highlight w:val="none"/>
              </w:rPr>
              <w:t>设备供货</w:t>
            </w:r>
          </w:p>
        </w:tc>
        <w:tc>
          <w:tcPr>
            <w:tcW w:w="3495" w:type="dxa"/>
            <w:tcBorders>
              <w:top w:val="single" w:color="000000" w:sz="6" w:space="0"/>
              <w:left w:val="single" w:color="000000" w:sz="6" w:space="0"/>
              <w:bottom w:val="single" w:color="000000" w:sz="6" w:space="0"/>
              <w:right w:val="single" w:color="000000" w:sz="6" w:space="0"/>
            </w:tcBorders>
            <w:vAlign w:val="center"/>
          </w:tcPr>
          <w:p w14:paraId="234F9A9D">
            <w:pPr>
              <w:pStyle w:val="143"/>
              <w:rPr>
                <w:i w:val="0"/>
                <w:iCs w:val="0"/>
                <w:color w:val="auto"/>
                <w:sz w:val="22"/>
                <w:szCs w:val="18"/>
                <w:highlight w:val="none"/>
              </w:rPr>
            </w:pPr>
            <w:r>
              <w:rPr>
                <w:rFonts w:hint="eastAsia"/>
                <w:i w:val="0"/>
                <w:iCs w:val="0"/>
                <w:color w:val="auto"/>
                <w:sz w:val="22"/>
                <w:szCs w:val="18"/>
                <w:highlight w:val="none"/>
              </w:rPr>
              <w:t>90天</w:t>
            </w:r>
          </w:p>
        </w:tc>
      </w:tr>
      <w:tr w14:paraId="234F9AA1">
        <w:tblPrEx>
          <w:tblCellMar>
            <w:top w:w="0" w:type="dxa"/>
            <w:left w:w="0" w:type="dxa"/>
            <w:bottom w:w="0" w:type="dxa"/>
            <w:right w:w="0" w:type="dxa"/>
          </w:tblCellMar>
        </w:tblPrEx>
        <w:trPr>
          <w:trHeight w:val="725" w:hRule="exact"/>
        </w:trPr>
        <w:tc>
          <w:tcPr>
            <w:tcW w:w="3966" w:type="dxa"/>
            <w:tcBorders>
              <w:top w:val="single" w:color="000000" w:sz="6" w:space="0"/>
              <w:left w:val="single" w:color="000000" w:sz="6" w:space="0"/>
              <w:bottom w:val="single" w:color="000000" w:sz="6" w:space="0"/>
              <w:right w:val="single" w:color="000000" w:sz="6" w:space="0"/>
            </w:tcBorders>
            <w:vAlign w:val="center"/>
          </w:tcPr>
          <w:p w14:paraId="234F9A9F">
            <w:pPr>
              <w:pStyle w:val="143"/>
              <w:rPr>
                <w:i w:val="0"/>
                <w:iCs w:val="0"/>
                <w:color w:val="auto"/>
                <w:sz w:val="22"/>
                <w:szCs w:val="18"/>
                <w:highlight w:val="none"/>
              </w:rPr>
            </w:pPr>
            <w:r>
              <w:rPr>
                <w:rFonts w:hint="eastAsia"/>
                <w:i w:val="0"/>
                <w:iCs w:val="0"/>
                <w:color w:val="auto"/>
                <w:sz w:val="22"/>
                <w:szCs w:val="18"/>
                <w:highlight w:val="none"/>
              </w:rPr>
              <w:t>施工</w:t>
            </w:r>
          </w:p>
        </w:tc>
        <w:tc>
          <w:tcPr>
            <w:tcW w:w="3495" w:type="dxa"/>
            <w:tcBorders>
              <w:top w:val="single" w:color="000000" w:sz="6" w:space="0"/>
              <w:left w:val="single" w:color="000000" w:sz="6" w:space="0"/>
              <w:bottom w:val="single" w:color="000000" w:sz="6" w:space="0"/>
              <w:right w:val="single" w:color="000000" w:sz="6" w:space="0"/>
            </w:tcBorders>
            <w:vAlign w:val="center"/>
          </w:tcPr>
          <w:p w14:paraId="234F9AA0">
            <w:pPr>
              <w:pStyle w:val="143"/>
              <w:rPr>
                <w:i w:val="0"/>
                <w:iCs w:val="0"/>
                <w:color w:val="auto"/>
                <w:sz w:val="22"/>
                <w:szCs w:val="18"/>
                <w:highlight w:val="none"/>
              </w:rPr>
            </w:pPr>
            <w:r>
              <w:rPr>
                <w:rFonts w:hint="eastAsia"/>
                <w:i w:val="0"/>
                <w:iCs w:val="0"/>
                <w:color w:val="auto"/>
                <w:sz w:val="22"/>
                <w:szCs w:val="18"/>
                <w:highlight w:val="none"/>
              </w:rPr>
              <w:t>180天</w:t>
            </w:r>
          </w:p>
        </w:tc>
      </w:tr>
      <w:tr w14:paraId="234F9AA4">
        <w:tblPrEx>
          <w:tblCellMar>
            <w:top w:w="0" w:type="dxa"/>
            <w:left w:w="0" w:type="dxa"/>
            <w:bottom w:w="0" w:type="dxa"/>
            <w:right w:w="0" w:type="dxa"/>
          </w:tblCellMar>
        </w:tblPrEx>
        <w:trPr>
          <w:trHeight w:val="725" w:hRule="exact"/>
        </w:trPr>
        <w:tc>
          <w:tcPr>
            <w:tcW w:w="3966" w:type="dxa"/>
            <w:tcBorders>
              <w:top w:val="single" w:color="000000" w:sz="6" w:space="0"/>
              <w:left w:val="single" w:color="000000" w:sz="6" w:space="0"/>
              <w:bottom w:val="single" w:color="000000" w:sz="6" w:space="0"/>
              <w:right w:val="single" w:color="000000" w:sz="6" w:space="0"/>
            </w:tcBorders>
            <w:vAlign w:val="center"/>
          </w:tcPr>
          <w:p w14:paraId="234F9AA2">
            <w:pPr>
              <w:pStyle w:val="143"/>
              <w:rPr>
                <w:i w:val="0"/>
                <w:iCs w:val="0"/>
                <w:color w:val="auto"/>
                <w:sz w:val="22"/>
                <w:szCs w:val="18"/>
                <w:highlight w:val="none"/>
              </w:rPr>
            </w:pPr>
            <w:r>
              <w:rPr>
                <w:rFonts w:hint="eastAsia"/>
                <w:i w:val="0"/>
                <w:iCs w:val="0"/>
                <w:color w:val="auto"/>
                <w:sz w:val="22"/>
                <w:szCs w:val="18"/>
                <w:highlight w:val="none"/>
              </w:rPr>
              <w:t>系统调试</w:t>
            </w:r>
          </w:p>
        </w:tc>
        <w:tc>
          <w:tcPr>
            <w:tcW w:w="3495" w:type="dxa"/>
            <w:tcBorders>
              <w:top w:val="single" w:color="000000" w:sz="6" w:space="0"/>
              <w:left w:val="single" w:color="000000" w:sz="6" w:space="0"/>
              <w:bottom w:val="single" w:color="000000" w:sz="6" w:space="0"/>
              <w:right w:val="single" w:color="000000" w:sz="6" w:space="0"/>
            </w:tcBorders>
            <w:vAlign w:val="center"/>
          </w:tcPr>
          <w:p w14:paraId="234F9AA3">
            <w:pPr>
              <w:pStyle w:val="143"/>
              <w:rPr>
                <w:i w:val="0"/>
                <w:iCs w:val="0"/>
                <w:color w:val="auto"/>
                <w:sz w:val="22"/>
                <w:szCs w:val="18"/>
                <w:highlight w:val="none"/>
              </w:rPr>
            </w:pPr>
            <w:r>
              <w:rPr>
                <w:rFonts w:hint="eastAsia"/>
                <w:i w:val="0"/>
                <w:iCs w:val="0"/>
                <w:color w:val="auto"/>
                <w:sz w:val="22"/>
                <w:szCs w:val="18"/>
                <w:highlight w:val="none"/>
              </w:rPr>
              <w:t>60天</w:t>
            </w:r>
          </w:p>
        </w:tc>
      </w:tr>
      <w:tr w14:paraId="234F9AA7">
        <w:tblPrEx>
          <w:tblCellMar>
            <w:top w:w="0" w:type="dxa"/>
            <w:left w:w="0" w:type="dxa"/>
            <w:bottom w:w="0" w:type="dxa"/>
            <w:right w:w="0" w:type="dxa"/>
          </w:tblCellMar>
        </w:tblPrEx>
        <w:trPr>
          <w:trHeight w:val="482" w:hRule="exact"/>
        </w:trPr>
        <w:tc>
          <w:tcPr>
            <w:tcW w:w="3966" w:type="dxa"/>
            <w:tcBorders>
              <w:top w:val="single" w:color="000000" w:sz="6" w:space="0"/>
              <w:left w:val="single" w:color="000000" w:sz="6" w:space="0"/>
              <w:bottom w:val="single" w:color="000000" w:sz="6" w:space="0"/>
              <w:right w:val="single" w:color="000000" w:sz="6" w:space="0"/>
            </w:tcBorders>
            <w:vAlign w:val="center"/>
          </w:tcPr>
          <w:p w14:paraId="234F9AA5">
            <w:pPr>
              <w:pStyle w:val="143"/>
              <w:rPr>
                <w:i w:val="0"/>
                <w:iCs w:val="0"/>
                <w:color w:val="auto"/>
                <w:sz w:val="22"/>
                <w:szCs w:val="18"/>
                <w:highlight w:val="none"/>
              </w:rPr>
            </w:pPr>
            <w:r>
              <w:rPr>
                <w:rFonts w:hint="eastAsia"/>
                <w:i w:val="0"/>
                <w:iCs w:val="0"/>
                <w:color w:val="auto"/>
                <w:sz w:val="22"/>
                <w:szCs w:val="18"/>
                <w:highlight w:val="none"/>
              </w:rPr>
              <w:t>完成系统联调及试运行</w:t>
            </w:r>
          </w:p>
        </w:tc>
        <w:tc>
          <w:tcPr>
            <w:tcW w:w="3495" w:type="dxa"/>
            <w:tcBorders>
              <w:top w:val="single" w:color="000000" w:sz="6" w:space="0"/>
              <w:left w:val="single" w:color="000000" w:sz="6" w:space="0"/>
              <w:bottom w:val="single" w:color="000000" w:sz="6" w:space="0"/>
              <w:right w:val="single" w:color="000000" w:sz="6" w:space="0"/>
            </w:tcBorders>
            <w:vAlign w:val="center"/>
          </w:tcPr>
          <w:p w14:paraId="234F9AA6">
            <w:pPr>
              <w:pStyle w:val="143"/>
              <w:rPr>
                <w:i w:val="0"/>
                <w:iCs w:val="0"/>
                <w:color w:val="auto"/>
                <w:sz w:val="22"/>
                <w:szCs w:val="18"/>
                <w:highlight w:val="none"/>
              </w:rPr>
            </w:pPr>
            <w:r>
              <w:rPr>
                <w:rFonts w:hint="eastAsia"/>
                <w:i w:val="0"/>
                <w:iCs w:val="0"/>
                <w:color w:val="auto"/>
                <w:sz w:val="22"/>
                <w:szCs w:val="18"/>
                <w:highlight w:val="none"/>
                <w:lang w:val="en-US" w:eastAsia="zh-CN"/>
              </w:rPr>
              <w:t>9</w:t>
            </w:r>
            <w:r>
              <w:rPr>
                <w:rFonts w:hint="eastAsia"/>
                <w:i w:val="0"/>
                <w:iCs w:val="0"/>
                <w:color w:val="auto"/>
                <w:sz w:val="22"/>
                <w:szCs w:val="18"/>
                <w:highlight w:val="none"/>
              </w:rPr>
              <w:t>0天</w:t>
            </w:r>
          </w:p>
        </w:tc>
      </w:tr>
      <w:tr w14:paraId="234F9AAA">
        <w:tblPrEx>
          <w:tblCellMar>
            <w:top w:w="0" w:type="dxa"/>
            <w:left w:w="0" w:type="dxa"/>
            <w:bottom w:w="0" w:type="dxa"/>
            <w:right w:w="0" w:type="dxa"/>
          </w:tblCellMar>
        </w:tblPrEx>
        <w:trPr>
          <w:trHeight w:val="485" w:hRule="exact"/>
        </w:trPr>
        <w:tc>
          <w:tcPr>
            <w:tcW w:w="3966" w:type="dxa"/>
            <w:tcBorders>
              <w:top w:val="single" w:color="000000" w:sz="6" w:space="0"/>
              <w:left w:val="single" w:color="000000" w:sz="6" w:space="0"/>
              <w:bottom w:val="single" w:color="000000" w:sz="6" w:space="0"/>
              <w:right w:val="single" w:color="000000" w:sz="6" w:space="0"/>
            </w:tcBorders>
            <w:vAlign w:val="center"/>
          </w:tcPr>
          <w:p w14:paraId="234F9AA8">
            <w:pPr>
              <w:pStyle w:val="143"/>
              <w:rPr>
                <w:i w:val="0"/>
                <w:iCs w:val="0"/>
                <w:color w:val="auto"/>
                <w:sz w:val="22"/>
                <w:szCs w:val="18"/>
                <w:highlight w:val="none"/>
              </w:rPr>
            </w:pPr>
            <w:r>
              <w:rPr>
                <w:rFonts w:hint="eastAsia"/>
                <w:i w:val="0"/>
                <w:iCs w:val="0"/>
                <w:color w:val="auto"/>
                <w:sz w:val="22"/>
                <w:szCs w:val="18"/>
                <w:highlight w:val="none"/>
              </w:rPr>
              <w:t>竣工验收</w:t>
            </w:r>
          </w:p>
        </w:tc>
        <w:tc>
          <w:tcPr>
            <w:tcW w:w="3495" w:type="dxa"/>
            <w:tcBorders>
              <w:top w:val="single" w:color="000000" w:sz="6" w:space="0"/>
              <w:left w:val="single" w:color="000000" w:sz="6" w:space="0"/>
              <w:bottom w:val="single" w:color="000000" w:sz="6" w:space="0"/>
              <w:right w:val="single" w:color="000000" w:sz="6" w:space="0"/>
            </w:tcBorders>
            <w:vAlign w:val="center"/>
          </w:tcPr>
          <w:p w14:paraId="234F9AA9">
            <w:pPr>
              <w:pStyle w:val="143"/>
              <w:rPr>
                <w:i w:val="0"/>
                <w:iCs w:val="0"/>
                <w:color w:val="auto"/>
                <w:sz w:val="22"/>
                <w:szCs w:val="18"/>
                <w:highlight w:val="none"/>
              </w:rPr>
            </w:pPr>
            <w:r>
              <w:rPr>
                <w:rFonts w:hint="eastAsia"/>
                <w:i w:val="0"/>
                <w:iCs w:val="0"/>
                <w:color w:val="auto"/>
                <w:sz w:val="22"/>
                <w:szCs w:val="18"/>
                <w:highlight w:val="none"/>
              </w:rPr>
              <w:t>30天</w:t>
            </w:r>
          </w:p>
        </w:tc>
      </w:tr>
    </w:tbl>
    <w:p w14:paraId="234F9AA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注：项目实施工期自合同签署之日起记，完成周期自上一阶段完成之日起记。</w:t>
      </w:r>
    </w:p>
    <w:p w14:paraId="234F9AAC">
      <w:pPr>
        <w:pStyle w:val="142"/>
        <w:ind w:firstLine="420"/>
        <w:rPr>
          <w:i w:val="0"/>
          <w:iCs w:val="0"/>
          <w:color w:val="auto"/>
          <w:sz w:val="21"/>
          <w:szCs w:val="15"/>
          <w:highlight w:val="none"/>
        </w:rPr>
      </w:pPr>
    </w:p>
    <w:p w14:paraId="234F9AAD">
      <w:pPr>
        <w:pStyle w:val="3"/>
        <w:rPr>
          <w:i w:val="0"/>
          <w:iCs w:val="0"/>
          <w:color w:val="auto"/>
          <w:sz w:val="24"/>
          <w:szCs w:val="32"/>
          <w:highlight w:val="none"/>
        </w:rPr>
      </w:pPr>
      <w:bookmarkStart w:id="221" w:name="_Toc30152"/>
      <w:r>
        <w:rPr>
          <w:rFonts w:hint="eastAsia"/>
          <w:i w:val="0"/>
          <w:iCs w:val="0"/>
          <w:color w:val="auto"/>
          <w:sz w:val="24"/>
          <w:szCs w:val="32"/>
          <w:highlight w:val="none"/>
        </w:rPr>
        <w:t>备品备件及专用工具通用要求</w:t>
      </w:r>
      <w:bookmarkEnd w:id="221"/>
      <w:r>
        <w:rPr>
          <w:rFonts w:hint="eastAsia" w:ascii="Times New Roman" w:hAnsi="Times New Roman" w:cs="Times New Roman"/>
          <w:i w:val="0"/>
          <w:iCs w:val="0"/>
          <w:color w:val="auto"/>
          <w:sz w:val="24"/>
          <w:szCs w:val="32"/>
          <w:highlight w:val="none"/>
        </w:rPr>
        <w:t>★</w:t>
      </w:r>
    </w:p>
    <w:p w14:paraId="234F9AA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rPr>
        <w:t>长沙</w:t>
      </w:r>
      <w:r>
        <w:rPr>
          <w:rFonts w:hint="eastAsia"/>
          <w:i w:val="0"/>
          <w:iCs w:val="0"/>
          <w:color w:val="auto"/>
          <w:sz w:val="21"/>
          <w:szCs w:val="15"/>
          <w:highlight w:val="none"/>
          <w:lang w:val="en-US" w:eastAsia="zh-CN"/>
        </w:rPr>
        <w:t>市</w:t>
      </w:r>
      <w:r>
        <w:rPr>
          <w:rFonts w:hint="eastAsia"/>
          <w:i w:val="0"/>
          <w:iCs w:val="0"/>
          <w:color w:val="auto"/>
          <w:sz w:val="21"/>
          <w:szCs w:val="15"/>
          <w:highlight w:val="none"/>
        </w:rPr>
        <w:t>轨道交通6号线</w:t>
      </w:r>
      <w:r>
        <w:rPr>
          <w:rFonts w:hint="eastAsia"/>
          <w:i w:val="0"/>
          <w:iCs w:val="0"/>
          <w:color w:val="auto"/>
          <w:sz w:val="21"/>
          <w:szCs w:val="15"/>
          <w:highlight w:val="none"/>
          <w:lang w:val="en-US" w:eastAsia="zh-CN"/>
        </w:rPr>
        <w:t>智慧地铁各系统均不考虑备品备件、专用工具。</w:t>
      </w:r>
    </w:p>
    <w:p w14:paraId="234F9AAF">
      <w:pPr>
        <w:pStyle w:val="142"/>
        <w:ind w:firstLine="420"/>
        <w:rPr>
          <w:i w:val="0"/>
          <w:iCs w:val="0"/>
          <w:color w:val="auto"/>
          <w:sz w:val="21"/>
          <w:szCs w:val="15"/>
          <w:highlight w:val="none"/>
        </w:rPr>
      </w:pPr>
    </w:p>
    <w:p w14:paraId="234F9AB0">
      <w:pPr>
        <w:pStyle w:val="3"/>
        <w:rPr>
          <w:i w:val="0"/>
          <w:iCs w:val="0"/>
          <w:color w:val="auto"/>
          <w:sz w:val="24"/>
          <w:szCs w:val="32"/>
          <w:highlight w:val="none"/>
        </w:rPr>
      </w:pPr>
      <w:bookmarkStart w:id="222" w:name="_Toc28356"/>
      <w:r>
        <w:rPr>
          <w:rFonts w:hint="eastAsia"/>
          <w:i w:val="0"/>
          <w:iCs w:val="0"/>
          <w:color w:val="auto"/>
          <w:sz w:val="24"/>
          <w:szCs w:val="32"/>
          <w:highlight w:val="none"/>
        </w:rPr>
        <w:t>项目管理</w:t>
      </w:r>
      <w:bookmarkEnd w:id="222"/>
      <w:r>
        <w:rPr>
          <w:rFonts w:hint="eastAsia" w:ascii="Times New Roman" w:hAnsi="Times New Roman" w:cs="Times New Roman"/>
          <w:i w:val="0"/>
          <w:iCs w:val="0"/>
          <w:color w:val="auto"/>
          <w:sz w:val="24"/>
          <w:szCs w:val="32"/>
          <w:highlight w:val="none"/>
        </w:rPr>
        <w:t>★</w:t>
      </w:r>
    </w:p>
    <w:p w14:paraId="234F9AB1">
      <w:pPr>
        <w:pStyle w:val="4"/>
        <w:rPr>
          <w:i w:val="0"/>
          <w:iCs w:val="0"/>
          <w:color w:val="auto"/>
          <w:sz w:val="24"/>
          <w:szCs w:val="21"/>
          <w:highlight w:val="none"/>
        </w:rPr>
      </w:pPr>
      <w:bookmarkStart w:id="223" w:name="_Toc85528750"/>
      <w:bookmarkStart w:id="224" w:name="_Toc21645"/>
      <w:bookmarkStart w:id="225" w:name="_Toc216637907"/>
      <w:bookmarkStart w:id="226" w:name="_Toc93674763"/>
      <w:r>
        <w:rPr>
          <w:rFonts w:hint="eastAsia"/>
          <w:i w:val="0"/>
          <w:iCs w:val="0"/>
          <w:color w:val="auto"/>
          <w:sz w:val="24"/>
          <w:szCs w:val="21"/>
          <w:highlight w:val="none"/>
        </w:rPr>
        <w:t>总则</w:t>
      </w:r>
      <w:bookmarkEnd w:id="223"/>
      <w:bookmarkEnd w:id="224"/>
      <w:bookmarkEnd w:id="225"/>
      <w:bookmarkEnd w:id="226"/>
    </w:p>
    <w:p w14:paraId="234F9AB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根据本招标文件要求提供各系统包括测试设备等的硬件设备、软件设计、制造、检验、包装、运输、仓储、施工督导、单体调试、联合调试、系统投运、人员培训、提交相关文件资料和图纸以及质保期服务等，同时完成与其它系统的软硬件接口设计、制造及调试，保证各个系统能满足用户的要求，安全可靠地运行。招标人将对投标人的工作（包括提交的设计文件等）进行审查及确认，但并不解除投标人对整个系统正确设计、制造及调试等的责任，投标人对系统的设计和制造缺陷完全负责。</w:t>
      </w:r>
    </w:p>
    <w:p w14:paraId="234F9AB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投标人在投标文件中应明确计算并列出项目管理费用的明细，计入投标总价。</w:t>
      </w:r>
    </w:p>
    <w:p w14:paraId="234F9AB4">
      <w:pPr>
        <w:pStyle w:val="4"/>
        <w:rPr>
          <w:i w:val="0"/>
          <w:iCs w:val="0"/>
          <w:color w:val="auto"/>
          <w:sz w:val="24"/>
          <w:szCs w:val="21"/>
          <w:highlight w:val="none"/>
        </w:rPr>
      </w:pPr>
      <w:bookmarkStart w:id="227" w:name="_Toc93674764"/>
      <w:bookmarkStart w:id="228" w:name="_Toc85528751"/>
      <w:bookmarkStart w:id="229" w:name="_Toc21163"/>
      <w:bookmarkStart w:id="230" w:name="_Toc216637908"/>
      <w:r>
        <w:rPr>
          <w:rFonts w:hint="eastAsia"/>
          <w:i w:val="0"/>
          <w:iCs w:val="0"/>
          <w:color w:val="auto"/>
          <w:sz w:val="24"/>
          <w:szCs w:val="21"/>
          <w:highlight w:val="none"/>
        </w:rPr>
        <w:t>项目组织</w:t>
      </w:r>
      <w:bookmarkEnd w:id="227"/>
      <w:bookmarkEnd w:id="228"/>
      <w:bookmarkEnd w:id="229"/>
      <w:bookmarkEnd w:id="230"/>
    </w:p>
    <w:p w14:paraId="234F9AB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工程为智慧地铁集成招标，系统包含了智慧地铁线路云平台扩容、防洪防汛应急处置，车站智能视频分析，FAS与门禁系统智能联动，司机行为实施监测，智慧人脸门禁，智能钥匙柜，智能运维，维修作业系统，智慧公寓管理系统及所有系统的材料采购、设备安装及施工督导，结合本工程特点，对投标人本工程项目组织机构及人员有如下主要要求。项目人员设定、业绩、技术资质、工作经历要求等内容以招标文件为准。</w:t>
      </w:r>
    </w:p>
    <w:p w14:paraId="234F9AB6">
      <w:pPr>
        <w:pStyle w:val="4"/>
        <w:rPr>
          <w:i w:val="0"/>
          <w:iCs w:val="0"/>
          <w:color w:val="auto"/>
          <w:sz w:val="24"/>
          <w:szCs w:val="21"/>
          <w:highlight w:val="none"/>
        </w:rPr>
      </w:pPr>
      <w:bookmarkStart w:id="231" w:name="_Toc9426"/>
      <w:bookmarkStart w:id="232" w:name="_Toc93674765"/>
      <w:r>
        <w:rPr>
          <w:rFonts w:hint="eastAsia"/>
          <w:i w:val="0"/>
          <w:iCs w:val="0"/>
          <w:color w:val="auto"/>
          <w:sz w:val="24"/>
          <w:szCs w:val="21"/>
          <w:highlight w:val="none"/>
        </w:rPr>
        <w:t>人员要求</w:t>
      </w:r>
      <w:bookmarkEnd w:id="231"/>
      <w:bookmarkEnd w:id="232"/>
    </w:p>
    <w:p w14:paraId="234F9AB7">
      <w:pPr>
        <w:pStyle w:val="6"/>
        <w:ind w:left="0"/>
        <w:rPr>
          <w:i w:val="0"/>
          <w:iCs w:val="0"/>
          <w:color w:val="auto"/>
          <w:sz w:val="22"/>
          <w:szCs w:val="22"/>
          <w:highlight w:val="none"/>
        </w:rPr>
      </w:pPr>
      <w:bookmarkStart w:id="233" w:name="_Toc30726"/>
      <w:bookmarkStart w:id="234" w:name="_Toc93674766"/>
      <w:r>
        <w:rPr>
          <w:rFonts w:hint="eastAsia"/>
          <w:i w:val="0"/>
          <w:iCs w:val="0"/>
          <w:color w:val="auto"/>
          <w:sz w:val="22"/>
          <w:szCs w:val="22"/>
          <w:highlight w:val="none"/>
        </w:rPr>
        <w:t>项目部人员</w:t>
      </w:r>
      <w:bookmarkEnd w:id="233"/>
      <w:bookmarkEnd w:id="234"/>
    </w:p>
    <w:p w14:paraId="234F9AB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投标人履行合同期间，应在长沙设置为本工程本系统服务的专门项目机构，负责处理项目事宜。</w:t>
      </w:r>
    </w:p>
    <w:p w14:paraId="234F9AB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项目组织机构应至少设置项目经理、项目技术负责人（项目总工）、专业技术负责人（至少包括智慧地铁线路云平台扩容、防洪防汛应急处置、车站智能视频分析、FAS与门禁系统智能联动、列车司机行为实时监测、智慧人脸门禁、智能钥匙柜、智能运维、维修作业系统、智慧公寓管理系统）、软件开发工程师、调试工程师、项目管理工程师等，相关人员应全职服务于本项目。从签订合同之日起至工程验收之日止，项目经理、项目技术负责人（项目总工）在长沙的时间不得少于22工作日／月。人员如需离开长沙，应提前获得招标人的同意。</w:t>
      </w:r>
    </w:p>
    <w:p w14:paraId="234F9AB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项目经理、项目技术负责人（项目总工）、专业技术负责人、调试工程师必须专职服务于本项目，不允许同时在其它项目中担任任何项目工作，本项目内智慧地铁各专业技术负责人不应兼任。</w:t>
      </w:r>
    </w:p>
    <w:p w14:paraId="234F9AB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本工程项目经理应至少担任过1个国内轨道交通智慧车站项目或综合监控系统集成项目的项目经理/项目负责人职务。</w:t>
      </w:r>
    </w:p>
    <w:p w14:paraId="234F9AB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本工程项目技术负责人（项目总工）应至少担任过1个国内轨道交通线智慧车站项目或综合监控系统集成项目的项目总工或技术负责人职务。</w:t>
      </w:r>
    </w:p>
    <w:p w14:paraId="234F9AB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智慧地铁线路云平台扩容、防洪防汛应急处置、车站智能视频分析、智慧人脸门禁、智能钥匙柜、智能运维、维修作业系统、智慧公寓管理系统专业技术负责人应至少担任过：城市轨道交通工程相应专业技术管理工作。</w:t>
      </w:r>
    </w:p>
    <w:p w14:paraId="234F9AB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项目管理工程师应至少担任过：城市轨道交通工程相应项目管理及专业技术管理工作。</w:t>
      </w:r>
    </w:p>
    <w:p w14:paraId="234F9AB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如果投标人采用第三方自主研发的系统软件，应组建专门服务于本项目的软件供货商组织机构，配备项目负责人1名，技术负责人1名，专业工程师至少5名，项目组织机构成员必须专职服务于本项目，不允许同时在其它项目中担任任何项目工作，并按照本工程的项目进度要求提供现场技术支持等服务，项目组人员必须全程参加本工程的设计联络、出厂验收、相关安装、调试等工作，以保证本工程按期实施。系统软件技术负责人必须至少有一个应用本系统软件的工程经验且担任该应用工程的技术负责人。</w:t>
      </w:r>
    </w:p>
    <w:p w14:paraId="234F9AC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本工程的技术人员必须熟悉和精通用于本工程的系统设备、产品和软件，并具备指导设备安装和进行系统设备调试的能力。</w:t>
      </w:r>
    </w:p>
    <w:p w14:paraId="234F9AC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合同签订后，投标人的本项目主要组成人员应与投标文件所列人员相符，若投标人确需更换有关人员，必须书面上报招标人并征得招标人同意。</w:t>
      </w:r>
    </w:p>
    <w:p w14:paraId="234F9AC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如在合同执行过程中出现项目经理、项目技术负责人（项目总工）、专业技术负责人明显不称职的情况，招标人有权要求投标人更换符合要求的相应人员，投标人应无条件给予更换。</w:t>
      </w:r>
    </w:p>
    <w:p w14:paraId="234F9AC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投标人应具有一套完善的工程项目管理机制和项目人员职责划分，以确保工程实施的各个阶段和各个环节能够及时、顺畅地进行。</w:t>
      </w:r>
    </w:p>
    <w:p w14:paraId="234F9AC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工程实施中各阶段的进度计划一旦经过双方确认，投标人必须按时完成所规定的相应工作。如因投标人自身原因导致计划未能按时完成，投标人应负有相应的责任。</w:t>
      </w:r>
    </w:p>
    <w:p w14:paraId="234F9AC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投标人接到招标人指令后，应在2小时内到达本工程指定地点开始工作。</w:t>
      </w:r>
    </w:p>
    <w:p w14:paraId="234F9AC6">
      <w:pPr>
        <w:pStyle w:val="6"/>
        <w:ind w:left="0"/>
        <w:rPr>
          <w:i w:val="0"/>
          <w:iCs w:val="0"/>
          <w:color w:val="auto"/>
          <w:sz w:val="22"/>
          <w:szCs w:val="22"/>
          <w:highlight w:val="none"/>
        </w:rPr>
      </w:pPr>
      <w:bookmarkStart w:id="235" w:name="_Toc21469"/>
      <w:bookmarkStart w:id="236" w:name="_Toc93674767"/>
      <w:r>
        <w:rPr>
          <w:rFonts w:hint="eastAsia"/>
          <w:i w:val="0"/>
          <w:iCs w:val="0"/>
          <w:color w:val="auto"/>
          <w:sz w:val="22"/>
          <w:szCs w:val="22"/>
          <w:highlight w:val="none"/>
        </w:rPr>
        <w:t>设计生产阶段人员</w:t>
      </w:r>
      <w:bookmarkEnd w:id="235"/>
      <w:bookmarkEnd w:id="236"/>
    </w:p>
    <w:p w14:paraId="234F9AC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投标人应保证在设计生产阶段根据不同系统配备相应技术人员。</w:t>
      </w:r>
    </w:p>
    <w:p w14:paraId="0901F312">
      <w:pPr>
        <w:pStyle w:val="142"/>
        <w:ind w:firstLine="420"/>
        <w:rPr>
          <w:rFonts w:hint="default"/>
          <w:i w:val="0"/>
          <w:iCs w:val="0"/>
          <w:color w:val="auto"/>
          <w:sz w:val="21"/>
          <w:szCs w:val="15"/>
          <w:highlight w:val="none"/>
          <w:lang w:val="en-US" w:eastAsia="zh-CN"/>
        </w:rPr>
      </w:pPr>
      <w:bookmarkStart w:id="237" w:name="_Toc93674768"/>
      <w:r>
        <w:rPr>
          <w:rFonts w:hint="eastAsia"/>
          <w:i w:val="0"/>
          <w:iCs w:val="0"/>
          <w:color w:val="auto"/>
          <w:sz w:val="21"/>
          <w:szCs w:val="15"/>
          <w:highlight w:val="none"/>
          <w:lang w:val="en-US" w:eastAsia="zh-CN"/>
        </w:rPr>
        <w:t>智慧地铁线路云平台扩容，配备不少于2名技术人员常驻长沙开展工作，在长沙时间不少于22工作日／月；</w:t>
      </w:r>
    </w:p>
    <w:p w14:paraId="52CEB64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防洪防汛应急处置、车站智能视频分析、FAS与门禁系统智能联动、列车司机行为实时监测、智慧人脸门禁、智能钥匙柜、智能运维、维修作业系统、智慧公寓管理系统分别配备不少于4名技术人员常驻长沙开展工作，在长沙时间不少于22工作日／月。</w:t>
      </w:r>
    </w:p>
    <w:p w14:paraId="234F9ACA">
      <w:pPr>
        <w:pStyle w:val="6"/>
        <w:ind w:left="0"/>
        <w:rPr>
          <w:i w:val="0"/>
          <w:iCs w:val="0"/>
          <w:color w:val="auto"/>
          <w:sz w:val="22"/>
          <w:szCs w:val="22"/>
          <w:highlight w:val="none"/>
        </w:rPr>
      </w:pPr>
      <w:bookmarkStart w:id="238" w:name="_Toc26802"/>
      <w:r>
        <w:rPr>
          <w:rFonts w:hint="eastAsia"/>
          <w:i w:val="0"/>
          <w:iCs w:val="0"/>
          <w:color w:val="auto"/>
          <w:sz w:val="22"/>
          <w:szCs w:val="22"/>
          <w:highlight w:val="none"/>
        </w:rPr>
        <w:t>施工阶段人员</w:t>
      </w:r>
      <w:bookmarkEnd w:id="237"/>
      <w:bookmarkEnd w:id="238"/>
    </w:p>
    <w:p w14:paraId="234F9AC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投标人应保证在设备安装及施工阶段配置不少于以下技术人员：</w:t>
      </w:r>
    </w:p>
    <w:p w14:paraId="234F9AC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智慧地铁线路云平台扩容，配备不少于2名技术人员常驻招标方工作地开展工作，在长沙时间不少于22工作日／月；</w:t>
      </w:r>
    </w:p>
    <w:p w14:paraId="234F9AC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防洪防汛应急处置、车站智能视频分析、FAS与门禁系统智能联动、列车司机行为实时监测、智慧人脸门禁、智能钥匙柜、智能运维、维修作业系统、智慧公寓管理系统安装及督导人员根据机电安装标段划分，每标段均配备至少1组人员，每组人员不少于4人，并均能独立解决现场问题，在长沙时间不少于22工作日／月。</w:t>
      </w:r>
    </w:p>
    <w:p w14:paraId="234F9ACE">
      <w:pPr>
        <w:pStyle w:val="6"/>
        <w:ind w:left="0"/>
        <w:rPr>
          <w:i w:val="0"/>
          <w:iCs w:val="0"/>
          <w:color w:val="auto"/>
          <w:sz w:val="22"/>
          <w:szCs w:val="22"/>
          <w:highlight w:val="none"/>
        </w:rPr>
      </w:pPr>
      <w:bookmarkStart w:id="239" w:name="_Toc93674769"/>
      <w:bookmarkStart w:id="240" w:name="_Toc30487"/>
      <w:r>
        <w:rPr>
          <w:rFonts w:hint="eastAsia"/>
          <w:i w:val="0"/>
          <w:iCs w:val="0"/>
          <w:color w:val="auto"/>
          <w:sz w:val="22"/>
          <w:szCs w:val="22"/>
          <w:highlight w:val="none"/>
        </w:rPr>
        <w:t>调试、验收、考核阶段人员</w:t>
      </w:r>
      <w:bookmarkEnd w:id="239"/>
      <w:bookmarkEnd w:id="240"/>
    </w:p>
    <w:p w14:paraId="234F9AC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投标人应保证在系统调试、验收、考核阶段配置不少于以下技术人员：</w:t>
      </w:r>
    </w:p>
    <w:p w14:paraId="234F9AD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智慧地铁线路云平台扩容，配备不少于2名技术人员（1名工程师以上）常驻招标方工作地开展工作，在长沙时间不少于22工作日／月；</w:t>
      </w:r>
    </w:p>
    <w:p w14:paraId="234F9AD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防洪防汛应急处置、车站智能视频分析、FAS与门禁系统智能联动、列车司机行为实时监测、智慧人脸门禁、智能钥匙柜、智能运维、维修作业系统、智慧公寓管理系统安装及督导人员根据机电安装标段划分，每标段均配备至少1组人员，每组人员不少于4人并均能独立解决现场问题，在长沙时间不少于22工作日／月。</w:t>
      </w:r>
    </w:p>
    <w:p w14:paraId="234F9AD2">
      <w:pPr>
        <w:pStyle w:val="6"/>
        <w:ind w:left="0"/>
        <w:rPr>
          <w:i w:val="0"/>
          <w:iCs w:val="0"/>
          <w:color w:val="auto"/>
          <w:sz w:val="22"/>
          <w:szCs w:val="22"/>
          <w:highlight w:val="none"/>
        </w:rPr>
      </w:pPr>
      <w:bookmarkStart w:id="241" w:name="_Toc21350"/>
      <w:bookmarkStart w:id="242" w:name="_Toc93674770"/>
      <w:r>
        <w:rPr>
          <w:rFonts w:hint="eastAsia"/>
          <w:i w:val="0"/>
          <w:iCs w:val="0"/>
          <w:color w:val="auto"/>
          <w:sz w:val="22"/>
          <w:szCs w:val="22"/>
          <w:highlight w:val="none"/>
        </w:rPr>
        <w:t>交接、质保期间人员</w:t>
      </w:r>
      <w:bookmarkEnd w:id="241"/>
      <w:bookmarkEnd w:id="242"/>
    </w:p>
    <w:p w14:paraId="234F9AD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投标人应保证在系统交接、质保期阶段配置不少于以下技术人员：</w:t>
      </w:r>
    </w:p>
    <w:p w14:paraId="234F9AD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智慧地铁线路云平台扩容，配备不少于1名技术人员常驻招标方工作地开展工作，在长沙时间不少于22工作日／月；</w:t>
      </w:r>
    </w:p>
    <w:p w14:paraId="234F9AD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防洪防汛应急处置、车站智能视频分析、FAS与门禁系统智能联动、列车司机行为实时监测、智慧人脸门禁、智能钥匙柜、智能运维、维修作业系统、智慧公寓管理系统配备不少于1名技术人员常驻招标方工作地开展工作，每名人员均能独立解决现场问题，在长沙时间不少于22工作日／月。</w:t>
      </w:r>
    </w:p>
    <w:p w14:paraId="234F9AD6">
      <w:pPr>
        <w:pStyle w:val="4"/>
        <w:rPr>
          <w:i w:val="0"/>
          <w:iCs w:val="0"/>
          <w:color w:val="auto"/>
          <w:sz w:val="24"/>
          <w:szCs w:val="21"/>
          <w:highlight w:val="none"/>
        </w:rPr>
      </w:pPr>
      <w:bookmarkStart w:id="243" w:name="_Toc7534"/>
      <w:bookmarkStart w:id="244" w:name="_Toc93674771"/>
      <w:bookmarkStart w:id="245" w:name="_Toc216637909"/>
      <w:bookmarkStart w:id="246" w:name="_Toc85528752"/>
      <w:r>
        <w:rPr>
          <w:rFonts w:hint="eastAsia"/>
          <w:i w:val="0"/>
          <w:iCs w:val="0"/>
          <w:color w:val="auto"/>
          <w:sz w:val="24"/>
          <w:szCs w:val="21"/>
          <w:highlight w:val="none"/>
        </w:rPr>
        <w:t>投标要求</w:t>
      </w:r>
      <w:bookmarkEnd w:id="243"/>
      <w:bookmarkEnd w:id="244"/>
      <w:bookmarkEnd w:id="245"/>
      <w:bookmarkEnd w:id="246"/>
    </w:p>
    <w:p w14:paraId="234F9AD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投标人应在投标文件中提供本项目的组织机构和人员组成表，并按照招标文件的格式及内容要求提供所有人员的有关资料。本项目组成人员必须按“项目人员履历表”的格式和要求填写：</w:t>
      </w:r>
    </w:p>
    <w:tbl>
      <w:tblPr>
        <w:tblStyle w:val="88"/>
        <w:tblW w:w="502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9"/>
        <w:gridCol w:w="470"/>
        <w:gridCol w:w="549"/>
        <w:gridCol w:w="470"/>
        <w:gridCol w:w="545"/>
        <w:gridCol w:w="470"/>
        <w:gridCol w:w="563"/>
        <w:gridCol w:w="2312"/>
        <w:gridCol w:w="859"/>
        <w:gridCol w:w="1490"/>
        <w:gridCol w:w="709"/>
      </w:tblGrid>
      <w:tr w14:paraId="234F9A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10" w:type="pct"/>
            <w:vAlign w:val="center"/>
          </w:tcPr>
          <w:p w14:paraId="234F9AD8">
            <w:pPr>
              <w:pStyle w:val="143"/>
              <w:bidi w:val="0"/>
              <w:rPr>
                <w:i w:val="0"/>
                <w:iCs w:val="0"/>
                <w:color w:val="auto"/>
                <w:sz w:val="21"/>
                <w:szCs w:val="21"/>
                <w:highlight w:val="none"/>
              </w:rPr>
            </w:pPr>
            <w:r>
              <w:rPr>
                <w:rFonts w:hint="eastAsia"/>
                <w:i w:val="0"/>
                <w:iCs w:val="0"/>
                <w:color w:val="auto"/>
                <w:sz w:val="21"/>
                <w:szCs w:val="21"/>
                <w:highlight w:val="none"/>
              </w:rPr>
              <w:t>序号</w:t>
            </w:r>
          </w:p>
        </w:tc>
        <w:tc>
          <w:tcPr>
            <w:tcW w:w="261" w:type="pct"/>
            <w:vAlign w:val="center"/>
          </w:tcPr>
          <w:p w14:paraId="234F9AD9">
            <w:pPr>
              <w:pStyle w:val="143"/>
              <w:bidi w:val="0"/>
              <w:rPr>
                <w:i w:val="0"/>
                <w:iCs w:val="0"/>
                <w:color w:val="auto"/>
                <w:sz w:val="21"/>
                <w:szCs w:val="21"/>
                <w:highlight w:val="none"/>
              </w:rPr>
            </w:pPr>
            <w:r>
              <w:rPr>
                <w:rFonts w:hint="eastAsia"/>
                <w:i w:val="0"/>
                <w:iCs w:val="0"/>
                <w:color w:val="auto"/>
                <w:sz w:val="21"/>
                <w:szCs w:val="21"/>
                <w:highlight w:val="none"/>
              </w:rPr>
              <w:t>姓名</w:t>
            </w:r>
          </w:p>
        </w:tc>
        <w:tc>
          <w:tcPr>
            <w:tcW w:w="305" w:type="pct"/>
            <w:vAlign w:val="center"/>
          </w:tcPr>
          <w:p w14:paraId="234F9ADA">
            <w:pPr>
              <w:pStyle w:val="143"/>
              <w:bidi w:val="0"/>
              <w:rPr>
                <w:i w:val="0"/>
                <w:iCs w:val="0"/>
                <w:color w:val="auto"/>
                <w:sz w:val="21"/>
                <w:szCs w:val="21"/>
                <w:highlight w:val="none"/>
              </w:rPr>
            </w:pPr>
            <w:r>
              <w:rPr>
                <w:rFonts w:hint="eastAsia"/>
                <w:i w:val="0"/>
                <w:iCs w:val="0"/>
                <w:color w:val="auto"/>
                <w:sz w:val="21"/>
                <w:szCs w:val="21"/>
                <w:highlight w:val="none"/>
              </w:rPr>
              <w:t>性别</w:t>
            </w:r>
          </w:p>
        </w:tc>
        <w:tc>
          <w:tcPr>
            <w:tcW w:w="261" w:type="pct"/>
            <w:vAlign w:val="center"/>
          </w:tcPr>
          <w:p w14:paraId="234F9ADB">
            <w:pPr>
              <w:pStyle w:val="143"/>
              <w:bidi w:val="0"/>
              <w:rPr>
                <w:i w:val="0"/>
                <w:iCs w:val="0"/>
                <w:color w:val="auto"/>
                <w:sz w:val="21"/>
                <w:szCs w:val="21"/>
                <w:highlight w:val="none"/>
              </w:rPr>
            </w:pPr>
            <w:r>
              <w:rPr>
                <w:rFonts w:hint="eastAsia"/>
                <w:i w:val="0"/>
                <w:iCs w:val="0"/>
                <w:color w:val="auto"/>
                <w:sz w:val="21"/>
                <w:szCs w:val="21"/>
                <w:highlight w:val="none"/>
              </w:rPr>
              <w:t>年龄</w:t>
            </w:r>
          </w:p>
        </w:tc>
        <w:tc>
          <w:tcPr>
            <w:tcW w:w="303" w:type="pct"/>
            <w:vAlign w:val="center"/>
          </w:tcPr>
          <w:p w14:paraId="234F9ADC">
            <w:pPr>
              <w:pStyle w:val="143"/>
              <w:bidi w:val="0"/>
              <w:rPr>
                <w:i w:val="0"/>
                <w:iCs w:val="0"/>
                <w:color w:val="auto"/>
                <w:sz w:val="21"/>
                <w:szCs w:val="21"/>
                <w:highlight w:val="none"/>
              </w:rPr>
            </w:pPr>
            <w:r>
              <w:rPr>
                <w:rFonts w:hint="eastAsia"/>
                <w:i w:val="0"/>
                <w:iCs w:val="0"/>
                <w:color w:val="auto"/>
                <w:sz w:val="21"/>
                <w:szCs w:val="21"/>
                <w:highlight w:val="none"/>
              </w:rPr>
              <w:t>学历</w:t>
            </w:r>
          </w:p>
        </w:tc>
        <w:tc>
          <w:tcPr>
            <w:tcW w:w="261" w:type="pct"/>
            <w:vAlign w:val="center"/>
          </w:tcPr>
          <w:p w14:paraId="234F9ADD">
            <w:pPr>
              <w:pStyle w:val="143"/>
              <w:bidi w:val="0"/>
              <w:rPr>
                <w:i w:val="0"/>
                <w:iCs w:val="0"/>
                <w:color w:val="auto"/>
                <w:sz w:val="21"/>
                <w:szCs w:val="21"/>
                <w:highlight w:val="none"/>
              </w:rPr>
            </w:pPr>
            <w:r>
              <w:rPr>
                <w:rFonts w:hint="eastAsia"/>
                <w:i w:val="0"/>
                <w:iCs w:val="0"/>
                <w:color w:val="auto"/>
                <w:sz w:val="21"/>
                <w:szCs w:val="21"/>
                <w:highlight w:val="none"/>
              </w:rPr>
              <w:t>职称</w:t>
            </w:r>
          </w:p>
        </w:tc>
        <w:tc>
          <w:tcPr>
            <w:tcW w:w="313" w:type="pct"/>
            <w:vAlign w:val="center"/>
          </w:tcPr>
          <w:p w14:paraId="234F9ADE">
            <w:pPr>
              <w:pStyle w:val="143"/>
              <w:bidi w:val="0"/>
              <w:rPr>
                <w:i w:val="0"/>
                <w:iCs w:val="0"/>
                <w:color w:val="auto"/>
                <w:sz w:val="21"/>
                <w:szCs w:val="21"/>
                <w:highlight w:val="none"/>
              </w:rPr>
            </w:pPr>
            <w:r>
              <w:rPr>
                <w:rFonts w:hint="eastAsia"/>
                <w:i w:val="0"/>
                <w:iCs w:val="0"/>
                <w:color w:val="auto"/>
                <w:sz w:val="21"/>
                <w:szCs w:val="21"/>
                <w:highlight w:val="none"/>
              </w:rPr>
              <w:t>专业</w:t>
            </w:r>
          </w:p>
        </w:tc>
        <w:tc>
          <w:tcPr>
            <w:tcW w:w="1284" w:type="pct"/>
            <w:vAlign w:val="center"/>
          </w:tcPr>
          <w:p w14:paraId="234F9ADF">
            <w:pPr>
              <w:pStyle w:val="143"/>
              <w:bidi w:val="0"/>
              <w:rPr>
                <w:i w:val="0"/>
                <w:iCs w:val="0"/>
                <w:color w:val="auto"/>
                <w:sz w:val="21"/>
                <w:szCs w:val="21"/>
                <w:highlight w:val="none"/>
              </w:rPr>
            </w:pPr>
            <w:r>
              <w:rPr>
                <w:rFonts w:hint="eastAsia"/>
                <w:i w:val="0"/>
                <w:iCs w:val="0"/>
                <w:color w:val="auto"/>
                <w:sz w:val="21"/>
                <w:szCs w:val="21"/>
                <w:highlight w:val="none"/>
              </w:rPr>
              <w:t>工程经验及在工程中所担任过的职务</w:t>
            </w:r>
          </w:p>
        </w:tc>
        <w:tc>
          <w:tcPr>
            <w:tcW w:w="477" w:type="pct"/>
            <w:vAlign w:val="center"/>
          </w:tcPr>
          <w:p w14:paraId="234F9AE0">
            <w:pPr>
              <w:pStyle w:val="143"/>
              <w:bidi w:val="0"/>
              <w:rPr>
                <w:i w:val="0"/>
                <w:iCs w:val="0"/>
                <w:color w:val="auto"/>
                <w:sz w:val="21"/>
                <w:szCs w:val="21"/>
                <w:highlight w:val="none"/>
              </w:rPr>
            </w:pPr>
            <w:r>
              <w:rPr>
                <w:rFonts w:hint="eastAsia"/>
                <w:i w:val="0"/>
                <w:iCs w:val="0"/>
                <w:color w:val="auto"/>
                <w:sz w:val="21"/>
                <w:szCs w:val="21"/>
                <w:highlight w:val="none"/>
              </w:rPr>
              <w:t>现任职务</w:t>
            </w:r>
          </w:p>
        </w:tc>
        <w:tc>
          <w:tcPr>
            <w:tcW w:w="828" w:type="pct"/>
            <w:vAlign w:val="center"/>
          </w:tcPr>
          <w:p w14:paraId="234F9AE1">
            <w:pPr>
              <w:pStyle w:val="143"/>
              <w:bidi w:val="0"/>
              <w:rPr>
                <w:i w:val="0"/>
                <w:iCs w:val="0"/>
                <w:color w:val="auto"/>
                <w:sz w:val="21"/>
                <w:szCs w:val="21"/>
                <w:highlight w:val="none"/>
              </w:rPr>
            </w:pPr>
            <w:r>
              <w:rPr>
                <w:rFonts w:hint="eastAsia"/>
                <w:i w:val="0"/>
                <w:iCs w:val="0"/>
                <w:color w:val="auto"/>
                <w:sz w:val="21"/>
                <w:szCs w:val="21"/>
                <w:highlight w:val="none"/>
              </w:rPr>
              <w:t>拟在本项目担任的职务</w:t>
            </w:r>
          </w:p>
        </w:tc>
        <w:tc>
          <w:tcPr>
            <w:tcW w:w="394" w:type="pct"/>
            <w:vAlign w:val="center"/>
          </w:tcPr>
          <w:p w14:paraId="234F9AE2">
            <w:pPr>
              <w:pStyle w:val="143"/>
              <w:bidi w:val="0"/>
              <w:rPr>
                <w:i w:val="0"/>
                <w:iCs w:val="0"/>
                <w:color w:val="auto"/>
                <w:sz w:val="21"/>
                <w:szCs w:val="21"/>
                <w:highlight w:val="none"/>
              </w:rPr>
            </w:pPr>
            <w:r>
              <w:rPr>
                <w:rFonts w:hint="eastAsia"/>
                <w:i w:val="0"/>
                <w:iCs w:val="0"/>
                <w:color w:val="auto"/>
                <w:sz w:val="21"/>
                <w:szCs w:val="21"/>
                <w:highlight w:val="none"/>
              </w:rPr>
              <w:t>所属公司</w:t>
            </w:r>
          </w:p>
        </w:tc>
      </w:tr>
      <w:tr w14:paraId="234F9A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310" w:type="pct"/>
            <w:vAlign w:val="center"/>
          </w:tcPr>
          <w:p w14:paraId="234F9AE4">
            <w:pPr>
              <w:pStyle w:val="143"/>
              <w:bidi w:val="0"/>
              <w:rPr>
                <w:i w:val="0"/>
                <w:iCs w:val="0"/>
                <w:color w:val="auto"/>
                <w:sz w:val="21"/>
                <w:szCs w:val="21"/>
                <w:highlight w:val="none"/>
              </w:rPr>
            </w:pPr>
            <w:r>
              <w:rPr>
                <w:rFonts w:hint="eastAsia"/>
                <w:i w:val="0"/>
                <w:iCs w:val="0"/>
                <w:color w:val="auto"/>
                <w:sz w:val="21"/>
                <w:szCs w:val="21"/>
                <w:highlight w:val="none"/>
              </w:rPr>
              <w:t>1</w:t>
            </w:r>
          </w:p>
        </w:tc>
        <w:tc>
          <w:tcPr>
            <w:tcW w:w="261" w:type="pct"/>
            <w:vAlign w:val="center"/>
          </w:tcPr>
          <w:p w14:paraId="234F9AE5">
            <w:pPr>
              <w:pStyle w:val="143"/>
              <w:bidi w:val="0"/>
              <w:rPr>
                <w:i w:val="0"/>
                <w:iCs w:val="0"/>
                <w:color w:val="auto"/>
                <w:sz w:val="21"/>
                <w:szCs w:val="21"/>
                <w:highlight w:val="none"/>
              </w:rPr>
            </w:pPr>
          </w:p>
        </w:tc>
        <w:tc>
          <w:tcPr>
            <w:tcW w:w="305" w:type="pct"/>
            <w:vAlign w:val="center"/>
          </w:tcPr>
          <w:p w14:paraId="234F9AE6">
            <w:pPr>
              <w:pStyle w:val="143"/>
              <w:bidi w:val="0"/>
              <w:rPr>
                <w:i w:val="0"/>
                <w:iCs w:val="0"/>
                <w:color w:val="auto"/>
                <w:sz w:val="21"/>
                <w:szCs w:val="21"/>
                <w:highlight w:val="none"/>
              </w:rPr>
            </w:pPr>
          </w:p>
        </w:tc>
        <w:tc>
          <w:tcPr>
            <w:tcW w:w="261" w:type="pct"/>
            <w:vAlign w:val="center"/>
          </w:tcPr>
          <w:p w14:paraId="234F9AE7">
            <w:pPr>
              <w:pStyle w:val="143"/>
              <w:bidi w:val="0"/>
              <w:rPr>
                <w:i w:val="0"/>
                <w:iCs w:val="0"/>
                <w:color w:val="auto"/>
                <w:sz w:val="21"/>
                <w:szCs w:val="21"/>
                <w:highlight w:val="none"/>
              </w:rPr>
            </w:pPr>
          </w:p>
        </w:tc>
        <w:tc>
          <w:tcPr>
            <w:tcW w:w="303" w:type="pct"/>
            <w:vAlign w:val="center"/>
          </w:tcPr>
          <w:p w14:paraId="234F9AE8">
            <w:pPr>
              <w:pStyle w:val="143"/>
              <w:bidi w:val="0"/>
              <w:rPr>
                <w:i w:val="0"/>
                <w:iCs w:val="0"/>
                <w:color w:val="auto"/>
                <w:sz w:val="21"/>
                <w:szCs w:val="21"/>
                <w:highlight w:val="none"/>
              </w:rPr>
            </w:pPr>
          </w:p>
        </w:tc>
        <w:tc>
          <w:tcPr>
            <w:tcW w:w="261" w:type="pct"/>
            <w:vAlign w:val="center"/>
          </w:tcPr>
          <w:p w14:paraId="234F9AE9">
            <w:pPr>
              <w:pStyle w:val="143"/>
              <w:bidi w:val="0"/>
              <w:rPr>
                <w:i w:val="0"/>
                <w:iCs w:val="0"/>
                <w:color w:val="auto"/>
                <w:sz w:val="21"/>
                <w:szCs w:val="21"/>
                <w:highlight w:val="none"/>
              </w:rPr>
            </w:pPr>
          </w:p>
        </w:tc>
        <w:tc>
          <w:tcPr>
            <w:tcW w:w="313" w:type="pct"/>
            <w:vAlign w:val="center"/>
          </w:tcPr>
          <w:p w14:paraId="234F9AEA">
            <w:pPr>
              <w:pStyle w:val="143"/>
              <w:bidi w:val="0"/>
              <w:rPr>
                <w:i w:val="0"/>
                <w:iCs w:val="0"/>
                <w:color w:val="auto"/>
                <w:sz w:val="21"/>
                <w:szCs w:val="21"/>
                <w:highlight w:val="none"/>
              </w:rPr>
            </w:pPr>
          </w:p>
        </w:tc>
        <w:tc>
          <w:tcPr>
            <w:tcW w:w="1284" w:type="pct"/>
            <w:vAlign w:val="center"/>
          </w:tcPr>
          <w:p w14:paraId="234F9AEB">
            <w:pPr>
              <w:pStyle w:val="143"/>
              <w:bidi w:val="0"/>
              <w:rPr>
                <w:i w:val="0"/>
                <w:iCs w:val="0"/>
                <w:color w:val="auto"/>
                <w:sz w:val="21"/>
                <w:szCs w:val="21"/>
                <w:highlight w:val="none"/>
              </w:rPr>
            </w:pPr>
          </w:p>
        </w:tc>
        <w:tc>
          <w:tcPr>
            <w:tcW w:w="477" w:type="pct"/>
            <w:vAlign w:val="center"/>
          </w:tcPr>
          <w:p w14:paraId="234F9AEC">
            <w:pPr>
              <w:pStyle w:val="143"/>
              <w:bidi w:val="0"/>
              <w:rPr>
                <w:i w:val="0"/>
                <w:iCs w:val="0"/>
                <w:color w:val="auto"/>
                <w:sz w:val="21"/>
                <w:szCs w:val="21"/>
                <w:highlight w:val="none"/>
              </w:rPr>
            </w:pPr>
          </w:p>
        </w:tc>
        <w:tc>
          <w:tcPr>
            <w:tcW w:w="828" w:type="pct"/>
            <w:vAlign w:val="center"/>
          </w:tcPr>
          <w:p w14:paraId="234F9AED">
            <w:pPr>
              <w:pStyle w:val="143"/>
              <w:bidi w:val="0"/>
              <w:rPr>
                <w:i w:val="0"/>
                <w:iCs w:val="0"/>
                <w:color w:val="auto"/>
                <w:sz w:val="21"/>
                <w:szCs w:val="21"/>
                <w:highlight w:val="none"/>
              </w:rPr>
            </w:pPr>
            <w:r>
              <w:rPr>
                <w:rFonts w:hint="eastAsia"/>
                <w:i w:val="0"/>
                <w:iCs w:val="0"/>
                <w:color w:val="auto"/>
                <w:sz w:val="21"/>
                <w:szCs w:val="21"/>
                <w:highlight w:val="none"/>
              </w:rPr>
              <w:t>项目经理</w:t>
            </w:r>
          </w:p>
        </w:tc>
        <w:tc>
          <w:tcPr>
            <w:tcW w:w="394" w:type="pct"/>
            <w:vAlign w:val="center"/>
          </w:tcPr>
          <w:p w14:paraId="234F9AEE">
            <w:pPr>
              <w:pStyle w:val="143"/>
              <w:bidi w:val="0"/>
              <w:rPr>
                <w:i w:val="0"/>
                <w:iCs w:val="0"/>
                <w:color w:val="auto"/>
                <w:sz w:val="21"/>
                <w:szCs w:val="21"/>
                <w:highlight w:val="none"/>
              </w:rPr>
            </w:pPr>
          </w:p>
        </w:tc>
      </w:tr>
      <w:tr w14:paraId="234F9A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310" w:type="pct"/>
            <w:vAlign w:val="center"/>
          </w:tcPr>
          <w:p w14:paraId="234F9AF0">
            <w:pPr>
              <w:pStyle w:val="143"/>
              <w:bidi w:val="0"/>
              <w:rPr>
                <w:i w:val="0"/>
                <w:iCs w:val="0"/>
                <w:color w:val="auto"/>
                <w:sz w:val="21"/>
                <w:szCs w:val="21"/>
                <w:highlight w:val="none"/>
              </w:rPr>
            </w:pPr>
            <w:r>
              <w:rPr>
                <w:rFonts w:hint="eastAsia"/>
                <w:i w:val="0"/>
                <w:iCs w:val="0"/>
                <w:color w:val="auto"/>
                <w:sz w:val="21"/>
                <w:szCs w:val="21"/>
                <w:highlight w:val="none"/>
              </w:rPr>
              <w:t>2</w:t>
            </w:r>
          </w:p>
        </w:tc>
        <w:tc>
          <w:tcPr>
            <w:tcW w:w="261" w:type="pct"/>
            <w:vAlign w:val="center"/>
          </w:tcPr>
          <w:p w14:paraId="234F9AF1">
            <w:pPr>
              <w:pStyle w:val="143"/>
              <w:bidi w:val="0"/>
              <w:rPr>
                <w:i w:val="0"/>
                <w:iCs w:val="0"/>
                <w:color w:val="auto"/>
                <w:sz w:val="21"/>
                <w:szCs w:val="21"/>
                <w:highlight w:val="none"/>
              </w:rPr>
            </w:pPr>
          </w:p>
        </w:tc>
        <w:tc>
          <w:tcPr>
            <w:tcW w:w="305" w:type="pct"/>
            <w:vAlign w:val="center"/>
          </w:tcPr>
          <w:p w14:paraId="234F9AF2">
            <w:pPr>
              <w:pStyle w:val="143"/>
              <w:bidi w:val="0"/>
              <w:rPr>
                <w:i w:val="0"/>
                <w:iCs w:val="0"/>
                <w:color w:val="auto"/>
                <w:sz w:val="21"/>
                <w:szCs w:val="21"/>
                <w:highlight w:val="none"/>
              </w:rPr>
            </w:pPr>
          </w:p>
        </w:tc>
        <w:tc>
          <w:tcPr>
            <w:tcW w:w="261" w:type="pct"/>
            <w:vAlign w:val="center"/>
          </w:tcPr>
          <w:p w14:paraId="234F9AF3">
            <w:pPr>
              <w:pStyle w:val="143"/>
              <w:bidi w:val="0"/>
              <w:rPr>
                <w:i w:val="0"/>
                <w:iCs w:val="0"/>
                <w:color w:val="auto"/>
                <w:sz w:val="21"/>
                <w:szCs w:val="21"/>
                <w:highlight w:val="none"/>
              </w:rPr>
            </w:pPr>
          </w:p>
        </w:tc>
        <w:tc>
          <w:tcPr>
            <w:tcW w:w="303" w:type="pct"/>
            <w:vAlign w:val="center"/>
          </w:tcPr>
          <w:p w14:paraId="234F9AF4">
            <w:pPr>
              <w:pStyle w:val="143"/>
              <w:bidi w:val="0"/>
              <w:rPr>
                <w:i w:val="0"/>
                <w:iCs w:val="0"/>
                <w:color w:val="auto"/>
                <w:sz w:val="21"/>
                <w:szCs w:val="21"/>
                <w:highlight w:val="none"/>
              </w:rPr>
            </w:pPr>
          </w:p>
        </w:tc>
        <w:tc>
          <w:tcPr>
            <w:tcW w:w="261" w:type="pct"/>
            <w:vAlign w:val="center"/>
          </w:tcPr>
          <w:p w14:paraId="234F9AF5">
            <w:pPr>
              <w:pStyle w:val="143"/>
              <w:bidi w:val="0"/>
              <w:rPr>
                <w:i w:val="0"/>
                <w:iCs w:val="0"/>
                <w:color w:val="auto"/>
                <w:sz w:val="21"/>
                <w:szCs w:val="21"/>
                <w:highlight w:val="none"/>
              </w:rPr>
            </w:pPr>
          </w:p>
        </w:tc>
        <w:tc>
          <w:tcPr>
            <w:tcW w:w="313" w:type="pct"/>
            <w:vAlign w:val="center"/>
          </w:tcPr>
          <w:p w14:paraId="234F9AF6">
            <w:pPr>
              <w:pStyle w:val="143"/>
              <w:bidi w:val="0"/>
              <w:rPr>
                <w:i w:val="0"/>
                <w:iCs w:val="0"/>
                <w:color w:val="auto"/>
                <w:sz w:val="21"/>
                <w:szCs w:val="21"/>
                <w:highlight w:val="none"/>
              </w:rPr>
            </w:pPr>
          </w:p>
        </w:tc>
        <w:tc>
          <w:tcPr>
            <w:tcW w:w="1284" w:type="pct"/>
            <w:vAlign w:val="center"/>
          </w:tcPr>
          <w:p w14:paraId="234F9AF7">
            <w:pPr>
              <w:pStyle w:val="143"/>
              <w:bidi w:val="0"/>
              <w:rPr>
                <w:i w:val="0"/>
                <w:iCs w:val="0"/>
                <w:color w:val="auto"/>
                <w:sz w:val="21"/>
                <w:szCs w:val="21"/>
                <w:highlight w:val="none"/>
              </w:rPr>
            </w:pPr>
          </w:p>
        </w:tc>
        <w:tc>
          <w:tcPr>
            <w:tcW w:w="477" w:type="pct"/>
            <w:vAlign w:val="center"/>
          </w:tcPr>
          <w:p w14:paraId="234F9AF8">
            <w:pPr>
              <w:pStyle w:val="143"/>
              <w:bidi w:val="0"/>
              <w:rPr>
                <w:i w:val="0"/>
                <w:iCs w:val="0"/>
                <w:color w:val="auto"/>
                <w:sz w:val="21"/>
                <w:szCs w:val="21"/>
                <w:highlight w:val="none"/>
              </w:rPr>
            </w:pPr>
          </w:p>
        </w:tc>
        <w:tc>
          <w:tcPr>
            <w:tcW w:w="828" w:type="pct"/>
            <w:vAlign w:val="center"/>
          </w:tcPr>
          <w:p w14:paraId="234F9AF9">
            <w:pPr>
              <w:pStyle w:val="143"/>
              <w:bidi w:val="0"/>
              <w:rPr>
                <w:i w:val="0"/>
                <w:iCs w:val="0"/>
                <w:color w:val="auto"/>
                <w:sz w:val="21"/>
                <w:szCs w:val="21"/>
                <w:highlight w:val="none"/>
              </w:rPr>
            </w:pPr>
            <w:r>
              <w:rPr>
                <w:rFonts w:hint="eastAsia"/>
                <w:i w:val="0"/>
                <w:iCs w:val="0"/>
                <w:color w:val="auto"/>
                <w:sz w:val="21"/>
                <w:szCs w:val="21"/>
                <w:highlight w:val="none"/>
              </w:rPr>
              <w:t>项目技术负责人</w:t>
            </w:r>
          </w:p>
        </w:tc>
        <w:tc>
          <w:tcPr>
            <w:tcW w:w="394" w:type="pct"/>
            <w:vAlign w:val="center"/>
          </w:tcPr>
          <w:p w14:paraId="234F9AFA">
            <w:pPr>
              <w:pStyle w:val="143"/>
              <w:bidi w:val="0"/>
              <w:rPr>
                <w:i w:val="0"/>
                <w:iCs w:val="0"/>
                <w:color w:val="auto"/>
                <w:sz w:val="21"/>
                <w:szCs w:val="21"/>
                <w:highlight w:val="none"/>
              </w:rPr>
            </w:pPr>
          </w:p>
        </w:tc>
      </w:tr>
      <w:tr w14:paraId="234F9B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310" w:type="pct"/>
            <w:vAlign w:val="center"/>
          </w:tcPr>
          <w:p w14:paraId="234F9AFC">
            <w:pPr>
              <w:pStyle w:val="143"/>
              <w:bidi w:val="0"/>
              <w:rPr>
                <w:i w:val="0"/>
                <w:iCs w:val="0"/>
                <w:color w:val="auto"/>
                <w:sz w:val="21"/>
                <w:szCs w:val="21"/>
                <w:highlight w:val="none"/>
              </w:rPr>
            </w:pPr>
            <w:r>
              <w:rPr>
                <w:rFonts w:hint="eastAsia"/>
                <w:i w:val="0"/>
                <w:iCs w:val="0"/>
                <w:color w:val="auto"/>
                <w:sz w:val="21"/>
                <w:szCs w:val="21"/>
                <w:highlight w:val="none"/>
              </w:rPr>
              <w:t>3</w:t>
            </w:r>
          </w:p>
        </w:tc>
        <w:tc>
          <w:tcPr>
            <w:tcW w:w="261" w:type="pct"/>
            <w:vAlign w:val="center"/>
          </w:tcPr>
          <w:p w14:paraId="234F9AFD">
            <w:pPr>
              <w:pStyle w:val="143"/>
              <w:bidi w:val="0"/>
              <w:rPr>
                <w:i w:val="0"/>
                <w:iCs w:val="0"/>
                <w:color w:val="auto"/>
                <w:sz w:val="21"/>
                <w:szCs w:val="21"/>
                <w:highlight w:val="none"/>
              </w:rPr>
            </w:pPr>
          </w:p>
        </w:tc>
        <w:tc>
          <w:tcPr>
            <w:tcW w:w="305" w:type="pct"/>
            <w:vAlign w:val="center"/>
          </w:tcPr>
          <w:p w14:paraId="234F9AFE">
            <w:pPr>
              <w:pStyle w:val="143"/>
              <w:bidi w:val="0"/>
              <w:rPr>
                <w:i w:val="0"/>
                <w:iCs w:val="0"/>
                <w:color w:val="auto"/>
                <w:sz w:val="21"/>
                <w:szCs w:val="21"/>
                <w:highlight w:val="none"/>
              </w:rPr>
            </w:pPr>
          </w:p>
        </w:tc>
        <w:tc>
          <w:tcPr>
            <w:tcW w:w="261" w:type="pct"/>
            <w:vAlign w:val="center"/>
          </w:tcPr>
          <w:p w14:paraId="234F9AFF">
            <w:pPr>
              <w:pStyle w:val="143"/>
              <w:bidi w:val="0"/>
              <w:rPr>
                <w:i w:val="0"/>
                <w:iCs w:val="0"/>
                <w:color w:val="auto"/>
                <w:sz w:val="21"/>
                <w:szCs w:val="21"/>
                <w:highlight w:val="none"/>
              </w:rPr>
            </w:pPr>
          </w:p>
        </w:tc>
        <w:tc>
          <w:tcPr>
            <w:tcW w:w="303" w:type="pct"/>
            <w:vAlign w:val="center"/>
          </w:tcPr>
          <w:p w14:paraId="234F9B00">
            <w:pPr>
              <w:pStyle w:val="143"/>
              <w:bidi w:val="0"/>
              <w:rPr>
                <w:i w:val="0"/>
                <w:iCs w:val="0"/>
                <w:color w:val="auto"/>
                <w:sz w:val="21"/>
                <w:szCs w:val="21"/>
                <w:highlight w:val="none"/>
              </w:rPr>
            </w:pPr>
          </w:p>
        </w:tc>
        <w:tc>
          <w:tcPr>
            <w:tcW w:w="261" w:type="pct"/>
            <w:vAlign w:val="center"/>
          </w:tcPr>
          <w:p w14:paraId="234F9B01">
            <w:pPr>
              <w:pStyle w:val="143"/>
              <w:bidi w:val="0"/>
              <w:rPr>
                <w:i w:val="0"/>
                <w:iCs w:val="0"/>
                <w:color w:val="auto"/>
                <w:sz w:val="21"/>
                <w:szCs w:val="21"/>
                <w:highlight w:val="none"/>
              </w:rPr>
            </w:pPr>
          </w:p>
        </w:tc>
        <w:tc>
          <w:tcPr>
            <w:tcW w:w="313" w:type="pct"/>
            <w:vAlign w:val="center"/>
          </w:tcPr>
          <w:p w14:paraId="234F9B02">
            <w:pPr>
              <w:pStyle w:val="143"/>
              <w:bidi w:val="0"/>
              <w:rPr>
                <w:i w:val="0"/>
                <w:iCs w:val="0"/>
                <w:color w:val="auto"/>
                <w:sz w:val="21"/>
                <w:szCs w:val="21"/>
                <w:highlight w:val="none"/>
              </w:rPr>
            </w:pPr>
          </w:p>
        </w:tc>
        <w:tc>
          <w:tcPr>
            <w:tcW w:w="1284" w:type="pct"/>
            <w:vAlign w:val="center"/>
          </w:tcPr>
          <w:p w14:paraId="234F9B03">
            <w:pPr>
              <w:pStyle w:val="143"/>
              <w:bidi w:val="0"/>
              <w:rPr>
                <w:i w:val="0"/>
                <w:iCs w:val="0"/>
                <w:color w:val="auto"/>
                <w:sz w:val="21"/>
                <w:szCs w:val="21"/>
                <w:highlight w:val="none"/>
              </w:rPr>
            </w:pPr>
          </w:p>
        </w:tc>
        <w:tc>
          <w:tcPr>
            <w:tcW w:w="477" w:type="pct"/>
            <w:vAlign w:val="center"/>
          </w:tcPr>
          <w:p w14:paraId="234F9B04">
            <w:pPr>
              <w:pStyle w:val="143"/>
              <w:bidi w:val="0"/>
              <w:rPr>
                <w:i w:val="0"/>
                <w:iCs w:val="0"/>
                <w:color w:val="auto"/>
                <w:sz w:val="21"/>
                <w:szCs w:val="21"/>
                <w:highlight w:val="none"/>
              </w:rPr>
            </w:pPr>
          </w:p>
        </w:tc>
        <w:tc>
          <w:tcPr>
            <w:tcW w:w="828" w:type="pct"/>
            <w:vAlign w:val="center"/>
          </w:tcPr>
          <w:p w14:paraId="234F9B05">
            <w:pPr>
              <w:pStyle w:val="143"/>
              <w:bidi w:val="0"/>
              <w:rPr>
                <w:i w:val="0"/>
                <w:iCs w:val="0"/>
                <w:color w:val="auto"/>
                <w:sz w:val="21"/>
                <w:szCs w:val="21"/>
                <w:highlight w:val="none"/>
              </w:rPr>
            </w:pPr>
            <w:r>
              <w:rPr>
                <w:rFonts w:hint="eastAsia"/>
                <w:i w:val="0"/>
                <w:iCs w:val="0"/>
                <w:color w:val="auto"/>
                <w:sz w:val="21"/>
                <w:szCs w:val="21"/>
                <w:highlight w:val="none"/>
              </w:rPr>
              <w:t>X</w:t>
            </w:r>
            <w:r>
              <w:rPr>
                <w:i w:val="0"/>
                <w:iCs w:val="0"/>
                <w:color w:val="auto"/>
                <w:sz w:val="21"/>
                <w:szCs w:val="21"/>
                <w:highlight w:val="none"/>
              </w:rPr>
              <w:t>X</w:t>
            </w:r>
            <w:r>
              <w:rPr>
                <w:rFonts w:hint="eastAsia"/>
                <w:i w:val="0"/>
                <w:iCs w:val="0"/>
                <w:color w:val="auto"/>
                <w:sz w:val="21"/>
                <w:szCs w:val="21"/>
                <w:highlight w:val="none"/>
              </w:rPr>
              <w:t>专业技术负责人</w:t>
            </w:r>
          </w:p>
        </w:tc>
        <w:tc>
          <w:tcPr>
            <w:tcW w:w="394" w:type="pct"/>
            <w:vAlign w:val="center"/>
          </w:tcPr>
          <w:p w14:paraId="234F9B06">
            <w:pPr>
              <w:pStyle w:val="143"/>
              <w:bidi w:val="0"/>
              <w:rPr>
                <w:i w:val="0"/>
                <w:iCs w:val="0"/>
                <w:color w:val="auto"/>
                <w:sz w:val="21"/>
                <w:szCs w:val="21"/>
                <w:highlight w:val="none"/>
              </w:rPr>
            </w:pPr>
          </w:p>
        </w:tc>
      </w:tr>
      <w:tr w14:paraId="234F9B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310" w:type="pct"/>
            <w:vAlign w:val="center"/>
          </w:tcPr>
          <w:p w14:paraId="234F9B08">
            <w:pPr>
              <w:pStyle w:val="143"/>
              <w:bidi w:val="0"/>
              <w:rPr>
                <w:i w:val="0"/>
                <w:iCs w:val="0"/>
                <w:color w:val="auto"/>
                <w:sz w:val="21"/>
                <w:szCs w:val="21"/>
                <w:highlight w:val="none"/>
              </w:rPr>
            </w:pPr>
            <w:r>
              <w:rPr>
                <w:rFonts w:hint="eastAsia"/>
                <w:i w:val="0"/>
                <w:iCs w:val="0"/>
                <w:color w:val="auto"/>
                <w:sz w:val="21"/>
                <w:szCs w:val="21"/>
                <w:highlight w:val="none"/>
              </w:rPr>
              <w:t>4</w:t>
            </w:r>
          </w:p>
        </w:tc>
        <w:tc>
          <w:tcPr>
            <w:tcW w:w="261" w:type="pct"/>
            <w:vAlign w:val="center"/>
          </w:tcPr>
          <w:p w14:paraId="234F9B09">
            <w:pPr>
              <w:pStyle w:val="143"/>
              <w:bidi w:val="0"/>
              <w:rPr>
                <w:i w:val="0"/>
                <w:iCs w:val="0"/>
                <w:color w:val="auto"/>
                <w:sz w:val="21"/>
                <w:szCs w:val="21"/>
                <w:highlight w:val="none"/>
              </w:rPr>
            </w:pPr>
          </w:p>
        </w:tc>
        <w:tc>
          <w:tcPr>
            <w:tcW w:w="305" w:type="pct"/>
            <w:vAlign w:val="center"/>
          </w:tcPr>
          <w:p w14:paraId="234F9B0A">
            <w:pPr>
              <w:pStyle w:val="143"/>
              <w:bidi w:val="0"/>
              <w:rPr>
                <w:i w:val="0"/>
                <w:iCs w:val="0"/>
                <w:color w:val="auto"/>
                <w:sz w:val="21"/>
                <w:szCs w:val="21"/>
                <w:highlight w:val="none"/>
              </w:rPr>
            </w:pPr>
          </w:p>
        </w:tc>
        <w:tc>
          <w:tcPr>
            <w:tcW w:w="261" w:type="pct"/>
            <w:vAlign w:val="center"/>
          </w:tcPr>
          <w:p w14:paraId="234F9B0B">
            <w:pPr>
              <w:pStyle w:val="143"/>
              <w:bidi w:val="0"/>
              <w:rPr>
                <w:i w:val="0"/>
                <w:iCs w:val="0"/>
                <w:color w:val="auto"/>
                <w:sz w:val="21"/>
                <w:szCs w:val="21"/>
                <w:highlight w:val="none"/>
              </w:rPr>
            </w:pPr>
          </w:p>
        </w:tc>
        <w:tc>
          <w:tcPr>
            <w:tcW w:w="303" w:type="pct"/>
            <w:vAlign w:val="center"/>
          </w:tcPr>
          <w:p w14:paraId="234F9B0C">
            <w:pPr>
              <w:pStyle w:val="143"/>
              <w:bidi w:val="0"/>
              <w:rPr>
                <w:i w:val="0"/>
                <w:iCs w:val="0"/>
                <w:color w:val="auto"/>
                <w:sz w:val="21"/>
                <w:szCs w:val="21"/>
                <w:highlight w:val="none"/>
              </w:rPr>
            </w:pPr>
          </w:p>
        </w:tc>
        <w:tc>
          <w:tcPr>
            <w:tcW w:w="261" w:type="pct"/>
            <w:vAlign w:val="center"/>
          </w:tcPr>
          <w:p w14:paraId="234F9B0D">
            <w:pPr>
              <w:pStyle w:val="143"/>
              <w:bidi w:val="0"/>
              <w:rPr>
                <w:i w:val="0"/>
                <w:iCs w:val="0"/>
                <w:color w:val="auto"/>
                <w:sz w:val="21"/>
                <w:szCs w:val="21"/>
                <w:highlight w:val="none"/>
              </w:rPr>
            </w:pPr>
          </w:p>
        </w:tc>
        <w:tc>
          <w:tcPr>
            <w:tcW w:w="313" w:type="pct"/>
            <w:vAlign w:val="center"/>
          </w:tcPr>
          <w:p w14:paraId="234F9B0E">
            <w:pPr>
              <w:pStyle w:val="143"/>
              <w:bidi w:val="0"/>
              <w:rPr>
                <w:i w:val="0"/>
                <w:iCs w:val="0"/>
                <w:color w:val="auto"/>
                <w:sz w:val="21"/>
                <w:szCs w:val="21"/>
                <w:highlight w:val="none"/>
              </w:rPr>
            </w:pPr>
          </w:p>
        </w:tc>
        <w:tc>
          <w:tcPr>
            <w:tcW w:w="1284" w:type="pct"/>
            <w:vAlign w:val="center"/>
          </w:tcPr>
          <w:p w14:paraId="234F9B0F">
            <w:pPr>
              <w:pStyle w:val="143"/>
              <w:bidi w:val="0"/>
              <w:rPr>
                <w:i w:val="0"/>
                <w:iCs w:val="0"/>
                <w:color w:val="auto"/>
                <w:sz w:val="21"/>
                <w:szCs w:val="21"/>
                <w:highlight w:val="none"/>
              </w:rPr>
            </w:pPr>
          </w:p>
        </w:tc>
        <w:tc>
          <w:tcPr>
            <w:tcW w:w="477" w:type="pct"/>
            <w:vAlign w:val="center"/>
          </w:tcPr>
          <w:p w14:paraId="234F9B10">
            <w:pPr>
              <w:pStyle w:val="143"/>
              <w:bidi w:val="0"/>
              <w:rPr>
                <w:i w:val="0"/>
                <w:iCs w:val="0"/>
                <w:color w:val="auto"/>
                <w:sz w:val="21"/>
                <w:szCs w:val="21"/>
                <w:highlight w:val="none"/>
              </w:rPr>
            </w:pPr>
          </w:p>
        </w:tc>
        <w:tc>
          <w:tcPr>
            <w:tcW w:w="828" w:type="pct"/>
            <w:vAlign w:val="center"/>
          </w:tcPr>
          <w:p w14:paraId="234F9B11">
            <w:pPr>
              <w:pStyle w:val="143"/>
              <w:bidi w:val="0"/>
              <w:rPr>
                <w:i w:val="0"/>
                <w:iCs w:val="0"/>
                <w:color w:val="auto"/>
                <w:sz w:val="21"/>
                <w:szCs w:val="21"/>
                <w:highlight w:val="none"/>
              </w:rPr>
            </w:pPr>
            <w:r>
              <w:rPr>
                <w:rFonts w:hint="eastAsia"/>
                <w:i w:val="0"/>
                <w:iCs w:val="0"/>
                <w:color w:val="auto"/>
                <w:sz w:val="21"/>
                <w:szCs w:val="21"/>
                <w:highlight w:val="none"/>
              </w:rPr>
              <w:t>软件技术负责人</w:t>
            </w:r>
          </w:p>
        </w:tc>
        <w:tc>
          <w:tcPr>
            <w:tcW w:w="394" w:type="pct"/>
            <w:vAlign w:val="center"/>
          </w:tcPr>
          <w:p w14:paraId="234F9B12">
            <w:pPr>
              <w:pStyle w:val="143"/>
              <w:bidi w:val="0"/>
              <w:rPr>
                <w:i w:val="0"/>
                <w:iCs w:val="0"/>
                <w:color w:val="auto"/>
                <w:sz w:val="21"/>
                <w:szCs w:val="21"/>
                <w:highlight w:val="none"/>
              </w:rPr>
            </w:pPr>
          </w:p>
        </w:tc>
      </w:tr>
    </w:tbl>
    <w:p w14:paraId="234F9B1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投标人应在投标文件中阐述项目管理的主要机制和主要人员的职责划分，以及投标人针对本工程的特点所采取的必要的、有效的保障措施。</w:t>
      </w:r>
    </w:p>
    <w:p w14:paraId="234F9B15">
      <w:pPr>
        <w:pStyle w:val="4"/>
        <w:rPr>
          <w:i w:val="0"/>
          <w:iCs w:val="0"/>
          <w:color w:val="auto"/>
          <w:sz w:val="24"/>
          <w:szCs w:val="21"/>
          <w:highlight w:val="none"/>
        </w:rPr>
      </w:pPr>
      <w:bookmarkStart w:id="247" w:name="_Toc216637910"/>
      <w:bookmarkStart w:id="248" w:name="_Toc555"/>
      <w:bookmarkStart w:id="249" w:name="_Toc93674772"/>
      <w:bookmarkStart w:id="250" w:name="_Toc85528753"/>
      <w:r>
        <w:rPr>
          <w:rFonts w:hint="eastAsia"/>
          <w:i w:val="0"/>
          <w:iCs w:val="0"/>
          <w:color w:val="auto"/>
          <w:sz w:val="24"/>
          <w:szCs w:val="21"/>
          <w:highlight w:val="none"/>
        </w:rPr>
        <w:t>投标人项目计划和进度控制</w:t>
      </w:r>
      <w:bookmarkEnd w:id="247"/>
      <w:bookmarkEnd w:id="248"/>
      <w:bookmarkEnd w:id="249"/>
      <w:bookmarkEnd w:id="250"/>
    </w:p>
    <w:p w14:paraId="234F9B1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根据经招标人批准编制的总工期策划，于合同签订30天之内，提出投标人总体控制进度计划，报招标人审批，并根据最终审批的项目进度计划和招标人的要求严格执行，按期（月、季、年）提交各项计划给招标人审查。</w:t>
      </w:r>
    </w:p>
    <w:p w14:paraId="234F9B1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为与招标人配合，投标人必须在合同签订15天之内，明确专门人员负责本合同项下设备和服务的进度管理，其人员资历应事先报招标人审查和招标人批准。</w:t>
      </w:r>
    </w:p>
    <w:p w14:paraId="234F9B1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招标人对投标人的进度进行检查、监督和全过程控制，招标人按确认的进度，分阶段付款(具体付款方式见合同商务部分)。</w:t>
      </w:r>
    </w:p>
    <w:p w14:paraId="234F9B1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投标人月度进度如有任何延迟、提前或可以预见到任何延迟、提前，必须及早书面通知招标人；同时提交新的月度计划表，并经招标人审核同意后执行。</w:t>
      </w:r>
    </w:p>
    <w:p w14:paraId="234F9B1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投标人如需变更进度计划，必须至少提前30天向招标人提出书面申请。</w:t>
      </w:r>
    </w:p>
    <w:p w14:paraId="234F9B1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招标人变更供货时间，在原定供货计划前30天通知投标人。</w:t>
      </w:r>
    </w:p>
    <w:p w14:paraId="234F9B1C">
      <w:pPr>
        <w:pStyle w:val="4"/>
        <w:rPr>
          <w:i w:val="0"/>
          <w:iCs w:val="0"/>
          <w:color w:val="auto"/>
          <w:sz w:val="24"/>
          <w:szCs w:val="21"/>
          <w:highlight w:val="none"/>
        </w:rPr>
      </w:pPr>
      <w:bookmarkStart w:id="251" w:name="_Toc216637911"/>
      <w:bookmarkStart w:id="252" w:name="_Toc85528754"/>
      <w:bookmarkStart w:id="253" w:name="_Toc93674773"/>
      <w:bookmarkStart w:id="254" w:name="_Toc11368"/>
      <w:r>
        <w:rPr>
          <w:rFonts w:hint="eastAsia"/>
          <w:i w:val="0"/>
          <w:iCs w:val="0"/>
          <w:color w:val="auto"/>
          <w:sz w:val="24"/>
          <w:szCs w:val="21"/>
          <w:highlight w:val="none"/>
        </w:rPr>
        <w:t>投标人的质量控制</w:t>
      </w:r>
      <w:bookmarkEnd w:id="251"/>
      <w:bookmarkEnd w:id="252"/>
      <w:bookmarkEnd w:id="253"/>
      <w:bookmarkEnd w:id="254"/>
    </w:p>
    <w:p w14:paraId="234F9B1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投标人必须按ISO9001:2000标准的要求，建立运行质量保证体系，保持有效的第三方认证证书，并接受招标人的监督和审核。</w:t>
      </w:r>
    </w:p>
    <w:p w14:paraId="234F9B1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投标人必须在合同签订后的30天以内，针对合同制定出相应的质量计划，报招标人审批，该计划必须考虑但不限于以下内容：</w:t>
      </w:r>
    </w:p>
    <w:p w14:paraId="234F9B1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确定和配备必要的控制手段、过程、设备（包括检验和试验设备）、工艺装备、资源和技能，以达到所要求的质量；</w:t>
      </w:r>
    </w:p>
    <w:p w14:paraId="234F9B20">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确保设计、生产过程、安装、服务、检验和试验程序和有关文件的相容性；</w:t>
      </w:r>
    </w:p>
    <w:p w14:paraId="234F9B21">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必要时，更新质量控制、检验和试验技术，包括研制新的测试设备；</w:t>
      </w:r>
    </w:p>
    <w:p w14:paraId="234F9B22">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确定所有测量能力，包括超出现有水平但在足够时限内能开发的测量能力；</w:t>
      </w:r>
    </w:p>
    <w:p w14:paraId="234F9B23">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确定在产品形成适当阶段的合适的验证；</w:t>
      </w:r>
    </w:p>
    <w:p w14:paraId="234F9B24">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对所有特性和要求，包括含有主观因素的特性和要求，明确接收标准；</w:t>
      </w:r>
    </w:p>
    <w:p w14:paraId="234F9B25">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确定和准备质量记录。</w:t>
      </w:r>
    </w:p>
    <w:p w14:paraId="234F9B2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对投标人所进行的质量控制，并不免除投标人对产品质量和服务质量的责任，投标人必须保证：</w:t>
      </w:r>
    </w:p>
    <w:p w14:paraId="234F9B27">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eastAsia="zh-CN"/>
        </w:rPr>
        <w:t>对在保证期内出现的投标人所提供设备任何一部分的缺陷或损坏（非他方造成），投标人应对之承担责任。若部分设备、材料和系统在保证期内需要更换、重新设计、修改或更新，从双方确认的修复完成日开始，这部分设备、材料和系统的保修期按本条款重新算起。任何情况下，保证期最短不得少于2年</w:t>
      </w:r>
      <w:r>
        <w:rPr>
          <w:rFonts w:hint="eastAsia"/>
          <w:i w:val="0"/>
          <w:iCs w:val="0"/>
          <w:color w:val="auto"/>
          <w:sz w:val="21"/>
          <w:szCs w:val="15"/>
          <w:highlight w:val="none"/>
          <w:lang w:val="en-US"/>
        </w:rPr>
        <w:t>。</w:t>
      </w:r>
    </w:p>
    <w:p w14:paraId="234F9B28">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如果发现的故障原因属于材料质量问题，或零部件设计或生产中出现的严重缺陷或者在系统中某类部件之更换或维修次数超过3次，招标人有权要求投标人自费更换系统中的全部此类零部件，包括那些仍在维持使用的同类零部件。</w:t>
      </w:r>
    </w:p>
    <w:p w14:paraId="234F9B29">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对投标人的质量进行全过程控制，至少包括如下内容：</w:t>
      </w:r>
    </w:p>
    <w:p w14:paraId="234F9B2A">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质量保证标准和内容；</w:t>
      </w:r>
    </w:p>
    <w:p w14:paraId="234F9B2B">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质量体系的审核；</w:t>
      </w:r>
    </w:p>
    <w:p w14:paraId="234F9B2C">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产品设计的控制；</w:t>
      </w:r>
    </w:p>
    <w:p w14:paraId="234F9B2D">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协调接口；</w:t>
      </w:r>
    </w:p>
    <w:p w14:paraId="234F9B2E">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文件和资料的控制；</w:t>
      </w:r>
    </w:p>
    <w:p w14:paraId="234F9B2F">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生产过程控制；</w:t>
      </w:r>
    </w:p>
    <w:p w14:paraId="234F9B30">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检验和测试的控制；</w:t>
      </w:r>
    </w:p>
    <w:p w14:paraId="234F9B31">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搬运、贮存、包装、防护和交付的控制；</w:t>
      </w:r>
    </w:p>
    <w:p w14:paraId="234F9B32">
      <w:pPr>
        <w:pStyle w:val="142"/>
        <w:numPr>
          <w:ilvl w:val="0"/>
          <w:numId w:val="32"/>
        </w:numPr>
        <w:ind w:firstLineChars="0"/>
        <w:rPr>
          <w:i w:val="0"/>
          <w:iCs w:val="0"/>
          <w:color w:val="auto"/>
          <w:sz w:val="21"/>
          <w:szCs w:val="15"/>
          <w:highlight w:val="none"/>
          <w:lang w:val="en-US"/>
        </w:rPr>
      </w:pPr>
      <w:r>
        <w:rPr>
          <w:rFonts w:hint="eastAsia"/>
          <w:i w:val="0"/>
          <w:iCs w:val="0"/>
          <w:color w:val="auto"/>
          <w:sz w:val="21"/>
          <w:szCs w:val="15"/>
          <w:highlight w:val="none"/>
          <w:lang w:val="en-US"/>
        </w:rPr>
        <w:t>质量记录和控制。</w:t>
      </w:r>
    </w:p>
    <w:p w14:paraId="234F9B3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拥有对设备使用的材料和部件的检验权，对不符合检验标准和合同要求的材料、部件，不符合检验标准和质量标准的成品，招标人有权采取口头警告、书面警告、正式通知停产返工或重新生产直至延迟或拒绝阶段付款申请等措施。设备的生产需经招标人的签字确认后方能进行。</w:t>
      </w:r>
    </w:p>
    <w:p w14:paraId="234F9B3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投标人必须提供各种质量报告，准备接受由招标人进行的质量体系审核和产品质量的监督。</w:t>
      </w:r>
    </w:p>
    <w:p w14:paraId="234F9B3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对投标人质量体系的审核中，如发现投标人质量体系存在严重不符合项，招标人有权视不符合项对履行本合同的影响程度，对投标人采取书面警告、正式通知停产返工或重新生产直至延迟或拒绝阶段付款申请等措施。</w:t>
      </w:r>
    </w:p>
    <w:p w14:paraId="234F9B36">
      <w:pPr>
        <w:pStyle w:val="4"/>
        <w:rPr>
          <w:i w:val="0"/>
          <w:iCs w:val="0"/>
          <w:color w:val="auto"/>
          <w:sz w:val="24"/>
          <w:szCs w:val="21"/>
          <w:highlight w:val="none"/>
        </w:rPr>
      </w:pPr>
      <w:bookmarkStart w:id="255" w:name="_Toc216637912"/>
      <w:bookmarkStart w:id="256" w:name="_Toc85528755"/>
      <w:bookmarkStart w:id="257" w:name="_Toc93674774"/>
      <w:bookmarkStart w:id="258" w:name="_Toc386"/>
      <w:r>
        <w:rPr>
          <w:rFonts w:hint="eastAsia"/>
          <w:i w:val="0"/>
          <w:iCs w:val="0"/>
          <w:color w:val="auto"/>
          <w:sz w:val="24"/>
          <w:szCs w:val="21"/>
          <w:highlight w:val="none"/>
        </w:rPr>
        <w:t>投标人的投资控制管理</w:t>
      </w:r>
      <w:bookmarkEnd w:id="255"/>
      <w:bookmarkEnd w:id="256"/>
      <w:bookmarkEnd w:id="257"/>
      <w:bookmarkEnd w:id="258"/>
    </w:p>
    <w:p w14:paraId="234F9B3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投标人必须接受招标人对设备投资的管理，分阶段提交投资计划，报招标人审查签字、审批。</w:t>
      </w:r>
    </w:p>
    <w:p w14:paraId="234F9B3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招标人对投标人的资金拨付，必须首先通过招标人签字确认。</w:t>
      </w:r>
    </w:p>
    <w:p w14:paraId="234F9B39">
      <w:pPr>
        <w:pStyle w:val="4"/>
        <w:rPr>
          <w:i w:val="0"/>
          <w:iCs w:val="0"/>
          <w:color w:val="auto"/>
          <w:sz w:val="24"/>
          <w:szCs w:val="21"/>
          <w:highlight w:val="none"/>
        </w:rPr>
      </w:pPr>
      <w:bookmarkStart w:id="259" w:name="_Toc93674775"/>
      <w:bookmarkStart w:id="260" w:name="_Toc12087"/>
      <w:bookmarkStart w:id="261" w:name="_Toc85528756"/>
      <w:bookmarkStart w:id="262" w:name="_Toc216637913"/>
      <w:r>
        <w:rPr>
          <w:rFonts w:hint="eastAsia"/>
          <w:i w:val="0"/>
          <w:iCs w:val="0"/>
          <w:color w:val="auto"/>
          <w:sz w:val="24"/>
          <w:szCs w:val="21"/>
          <w:highlight w:val="none"/>
        </w:rPr>
        <w:t>接口管理</w:t>
      </w:r>
      <w:bookmarkEnd w:id="259"/>
      <w:bookmarkEnd w:id="260"/>
      <w:bookmarkEnd w:id="261"/>
      <w:bookmarkEnd w:id="262"/>
    </w:p>
    <w:p w14:paraId="234F9B3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投标人要有专职的接口负责人员与招标人联络、协调。</w:t>
      </w:r>
    </w:p>
    <w:p w14:paraId="234F9B3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投标人必须与其接口的各系统供货商在设计联络期间互提所需基础资料，并相互确认，提交招标人。</w:t>
      </w:r>
    </w:p>
    <w:p w14:paraId="234F9B3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在产品设计之前，投标人必须向招标人提交《接口方案报告》。</w:t>
      </w:r>
    </w:p>
    <w:p w14:paraId="234F9B3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投标人必须按规定进行必要的接口试验，并接受招标人的审查。</w:t>
      </w:r>
    </w:p>
    <w:p w14:paraId="234F9B3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投标人必须编制《接口协调会议计划》，准备好接口技术资料并组织接口协调会。</w:t>
      </w:r>
    </w:p>
    <w:p w14:paraId="234F9B3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投标人对已确定接口内容的修改需经招标人的同意，并最终通过招标人的认可，方可进行。</w:t>
      </w:r>
    </w:p>
    <w:p w14:paraId="234F9B4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投标人必须每月向招标人提交接口进度总结报告。</w:t>
      </w:r>
    </w:p>
    <w:p w14:paraId="234F9B4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投标人必须配合招标人，完成内部和外部接口的协调。</w:t>
      </w:r>
    </w:p>
    <w:p w14:paraId="234F9B42">
      <w:pPr>
        <w:pStyle w:val="4"/>
        <w:rPr>
          <w:i w:val="0"/>
          <w:iCs w:val="0"/>
          <w:color w:val="auto"/>
          <w:sz w:val="24"/>
          <w:szCs w:val="21"/>
          <w:highlight w:val="none"/>
        </w:rPr>
      </w:pPr>
      <w:bookmarkStart w:id="263" w:name="_Toc216637914"/>
      <w:bookmarkStart w:id="264" w:name="_Toc85528757"/>
      <w:bookmarkStart w:id="265" w:name="_Toc93674776"/>
      <w:bookmarkStart w:id="266" w:name="_Toc26050"/>
      <w:r>
        <w:rPr>
          <w:rFonts w:hint="eastAsia"/>
          <w:i w:val="0"/>
          <w:iCs w:val="0"/>
          <w:color w:val="auto"/>
          <w:sz w:val="24"/>
          <w:szCs w:val="21"/>
          <w:highlight w:val="none"/>
        </w:rPr>
        <w:t>产品设计管理</w:t>
      </w:r>
      <w:bookmarkEnd w:id="263"/>
      <w:bookmarkEnd w:id="264"/>
      <w:bookmarkEnd w:id="265"/>
      <w:bookmarkEnd w:id="266"/>
    </w:p>
    <w:p w14:paraId="234F9B4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投标人的设计工作必须严格执行投标人质量体系和质量计划的相关规定，并符合招标人、设计单位提出的要求。</w:t>
      </w:r>
    </w:p>
    <w:p w14:paraId="234F9B4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投标人必须接受招标人对工程设计图纸、文件的审查。经设计单位确认、招标人审核后的工程设计图纸、文件，才能用于施工。</w:t>
      </w:r>
    </w:p>
    <w:p w14:paraId="234F9B45">
      <w:pPr>
        <w:pStyle w:val="4"/>
        <w:rPr>
          <w:i w:val="0"/>
          <w:iCs w:val="0"/>
          <w:color w:val="auto"/>
          <w:sz w:val="24"/>
          <w:szCs w:val="21"/>
          <w:highlight w:val="none"/>
        </w:rPr>
      </w:pPr>
      <w:bookmarkStart w:id="267" w:name="_Toc28434"/>
      <w:bookmarkStart w:id="268" w:name="_Toc93674777"/>
      <w:bookmarkStart w:id="269" w:name="_Toc85528758"/>
      <w:bookmarkStart w:id="270" w:name="_Toc216637915"/>
      <w:r>
        <w:rPr>
          <w:rFonts w:hint="eastAsia"/>
          <w:i w:val="0"/>
          <w:iCs w:val="0"/>
          <w:color w:val="auto"/>
          <w:sz w:val="24"/>
          <w:szCs w:val="21"/>
          <w:highlight w:val="none"/>
        </w:rPr>
        <w:t>产品制造管理</w:t>
      </w:r>
      <w:bookmarkEnd w:id="267"/>
      <w:bookmarkEnd w:id="268"/>
      <w:bookmarkEnd w:id="269"/>
      <w:bookmarkEnd w:id="270"/>
    </w:p>
    <w:p w14:paraId="234F9B4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接受招标人对产品制造进行监督，根据已审批的产品设计图纸文件，按照严格的质保体系进行产品制造。</w:t>
      </w:r>
    </w:p>
    <w:p w14:paraId="234F9B4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 xml:space="preserve">投标人必须在设计联络阶段结束后的15天内，向招标人提交本合同设备生产计划、主要工序检验规程、检验和试验计划，供审核批准。 </w:t>
      </w:r>
    </w:p>
    <w:p w14:paraId="234F9B4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完成本设备的接口任务，并提供技术资料，实现与外部的接口配合。</w:t>
      </w:r>
    </w:p>
    <w:p w14:paraId="234F9B4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招标人根据需要保留派人参加设备监造的权力。</w:t>
      </w:r>
    </w:p>
    <w:p w14:paraId="234F9B4A">
      <w:pPr>
        <w:pStyle w:val="4"/>
        <w:rPr>
          <w:i w:val="0"/>
          <w:iCs w:val="0"/>
          <w:color w:val="auto"/>
          <w:sz w:val="24"/>
          <w:szCs w:val="21"/>
          <w:highlight w:val="none"/>
        </w:rPr>
      </w:pPr>
      <w:bookmarkStart w:id="271" w:name="_Toc216637916"/>
      <w:bookmarkStart w:id="272" w:name="_Toc18558"/>
      <w:bookmarkStart w:id="273" w:name="_Toc85528759"/>
      <w:bookmarkStart w:id="274" w:name="_Toc93674778"/>
      <w:r>
        <w:rPr>
          <w:rFonts w:hint="eastAsia"/>
          <w:i w:val="0"/>
          <w:iCs w:val="0"/>
          <w:color w:val="auto"/>
          <w:sz w:val="24"/>
          <w:szCs w:val="21"/>
          <w:highlight w:val="none"/>
        </w:rPr>
        <w:t>工厂检验和试验管理</w:t>
      </w:r>
      <w:bookmarkEnd w:id="271"/>
      <w:bookmarkEnd w:id="272"/>
      <w:bookmarkEnd w:id="273"/>
      <w:bookmarkEnd w:id="274"/>
    </w:p>
    <w:p w14:paraId="234F9B4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投标人必须按照合同“文件”、质量体系和质量计划的要求，进行型式试验、进货检验和试验、生产过程检验和试验、出厂检验和试验，随时接受招标人的检查。</w:t>
      </w:r>
    </w:p>
    <w:p w14:paraId="234F9B4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投标人不得以任何借口减少系统检验和试验的项目与内容，试验验收后，并不减轻或减少投标人对设备所负的责任。</w:t>
      </w:r>
    </w:p>
    <w:p w14:paraId="234F9B4E">
      <w:pPr>
        <w:pStyle w:val="4"/>
        <w:rPr>
          <w:i w:val="0"/>
          <w:iCs w:val="0"/>
          <w:color w:val="auto"/>
          <w:sz w:val="24"/>
          <w:szCs w:val="21"/>
          <w:highlight w:val="none"/>
        </w:rPr>
      </w:pPr>
      <w:bookmarkStart w:id="275" w:name="_Toc85528760"/>
      <w:bookmarkStart w:id="276" w:name="_Toc216637917"/>
      <w:bookmarkStart w:id="277" w:name="_Toc10134"/>
      <w:bookmarkStart w:id="278" w:name="_Toc93674779"/>
      <w:r>
        <w:rPr>
          <w:rFonts w:hint="eastAsia"/>
          <w:i w:val="0"/>
          <w:iCs w:val="0"/>
          <w:color w:val="auto"/>
          <w:sz w:val="24"/>
          <w:szCs w:val="21"/>
          <w:highlight w:val="none"/>
        </w:rPr>
        <w:t>不合格品的控制</w:t>
      </w:r>
      <w:bookmarkEnd w:id="275"/>
      <w:bookmarkEnd w:id="276"/>
      <w:bookmarkEnd w:id="277"/>
      <w:bookmarkEnd w:id="278"/>
    </w:p>
    <w:p w14:paraId="234F9B4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投标人必须严格执行其质量管理体系中关于不合格品的有关文件和程序，以防止不合格品的使用或安装。</w:t>
      </w:r>
    </w:p>
    <w:p w14:paraId="234F9B5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如果招标人在任何情况下，发现投标人有任何不合格产品未按质量管理体系中有关的文件和程序办理，招标人将视此为投标人质量体系的严重不符合项。</w:t>
      </w:r>
    </w:p>
    <w:p w14:paraId="234F9B51">
      <w:pPr>
        <w:pStyle w:val="142"/>
        <w:ind w:firstLine="420"/>
        <w:rPr>
          <w:i w:val="0"/>
          <w:iCs w:val="0"/>
          <w:color w:val="auto"/>
          <w:sz w:val="21"/>
          <w:szCs w:val="15"/>
          <w:highlight w:val="none"/>
          <w:lang w:val="en-US"/>
        </w:rPr>
      </w:pPr>
    </w:p>
    <w:p w14:paraId="234F9B52">
      <w:pPr>
        <w:pStyle w:val="3"/>
        <w:rPr>
          <w:i w:val="0"/>
          <w:iCs w:val="0"/>
          <w:color w:val="auto"/>
          <w:sz w:val="24"/>
          <w:szCs w:val="32"/>
          <w:highlight w:val="none"/>
        </w:rPr>
      </w:pPr>
      <w:bookmarkStart w:id="279" w:name="_Toc9707"/>
      <w:r>
        <w:rPr>
          <w:rFonts w:hint="eastAsia"/>
          <w:i w:val="0"/>
          <w:iCs w:val="0"/>
          <w:color w:val="auto"/>
          <w:sz w:val="24"/>
          <w:szCs w:val="32"/>
          <w:highlight w:val="none"/>
        </w:rPr>
        <w:t>工程管理</w:t>
      </w:r>
      <w:bookmarkEnd w:id="279"/>
      <w:r>
        <w:rPr>
          <w:rFonts w:hint="eastAsia" w:ascii="Times New Roman" w:hAnsi="Times New Roman" w:cs="Times New Roman"/>
          <w:i w:val="0"/>
          <w:iCs w:val="0"/>
          <w:color w:val="auto"/>
          <w:sz w:val="24"/>
          <w:szCs w:val="32"/>
          <w:highlight w:val="none"/>
        </w:rPr>
        <w:t>★</w:t>
      </w:r>
    </w:p>
    <w:p w14:paraId="234F9B53">
      <w:pPr>
        <w:pStyle w:val="4"/>
        <w:rPr>
          <w:i w:val="0"/>
          <w:iCs w:val="0"/>
          <w:color w:val="auto"/>
          <w:sz w:val="24"/>
          <w:szCs w:val="21"/>
          <w:highlight w:val="none"/>
        </w:rPr>
      </w:pPr>
      <w:bookmarkStart w:id="280" w:name="_Toc216637920"/>
      <w:bookmarkStart w:id="281" w:name="_Toc32516"/>
      <w:bookmarkStart w:id="282" w:name="_Toc93674781"/>
      <w:bookmarkStart w:id="283" w:name="_Toc85528762"/>
      <w:r>
        <w:rPr>
          <w:rFonts w:hint="eastAsia"/>
          <w:i w:val="0"/>
          <w:iCs w:val="0"/>
          <w:color w:val="auto"/>
          <w:sz w:val="24"/>
          <w:szCs w:val="21"/>
          <w:highlight w:val="none"/>
        </w:rPr>
        <w:t>项目管理职责划分和细则</w:t>
      </w:r>
      <w:bookmarkEnd w:id="280"/>
      <w:bookmarkEnd w:id="281"/>
      <w:bookmarkEnd w:id="282"/>
      <w:bookmarkEnd w:id="283"/>
    </w:p>
    <w:p w14:paraId="234F9B5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投标人应根据项目的情况成立相应的组织机构，配备固定的人员、制定项目计划并服从招标人的管理，使项目得以顺利实施。</w:t>
      </w:r>
    </w:p>
    <w:p w14:paraId="234F9B5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本项目任务与参与各方的关系采用下面的表格表示。需要说明的是，项目管理是从开始到结束的全过程管理，招标人、投标人、施工安装、设计的任务和职责包括但不限于此：</w:t>
      </w:r>
    </w:p>
    <w:tbl>
      <w:tblPr>
        <w:tblStyle w:val="88"/>
        <w:tblW w:w="8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1276"/>
        <w:gridCol w:w="6690"/>
      </w:tblGrid>
      <w:tr w14:paraId="234F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3" w:type="dxa"/>
            <w:vAlign w:val="center"/>
          </w:tcPr>
          <w:p w14:paraId="234F9B56">
            <w:pPr>
              <w:pStyle w:val="143"/>
              <w:bidi w:val="0"/>
              <w:rPr>
                <w:i w:val="0"/>
                <w:iCs w:val="0"/>
                <w:color w:val="auto"/>
                <w:sz w:val="21"/>
                <w:szCs w:val="21"/>
                <w:highlight w:val="none"/>
              </w:rPr>
            </w:pPr>
            <w:r>
              <w:rPr>
                <w:i w:val="0"/>
                <w:iCs w:val="0"/>
                <w:color w:val="auto"/>
                <w:sz w:val="21"/>
                <w:szCs w:val="21"/>
                <w:highlight w:val="none"/>
              </w:rPr>
              <w:t>序号</w:t>
            </w:r>
          </w:p>
        </w:tc>
        <w:tc>
          <w:tcPr>
            <w:tcW w:w="1276" w:type="dxa"/>
            <w:vAlign w:val="center"/>
          </w:tcPr>
          <w:p w14:paraId="234F9B57">
            <w:pPr>
              <w:pStyle w:val="143"/>
              <w:bidi w:val="0"/>
              <w:rPr>
                <w:i w:val="0"/>
                <w:iCs w:val="0"/>
                <w:color w:val="auto"/>
                <w:sz w:val="21"/>
                <w:szCs w:val="21"/>
                <w:highlight w:val="none"/>
              </w:rPr>
            </w:pPr>
            <w:r>
              <w:rPr>
                <w:i w:val="0"/>
                <w:iCs w:val="0"/>
                <w:color w:val="auto"/>
                <w:sz w:val="21"/>
                <w:szCs w:val="21"/>
                <w:highlight w:val="none"/>
              </w:rPr>
              <w:t>项目</w:t>
            </w:r>
          </w:p>
        </w:tc>
        <w:tc>
          <w:tcPr>
            <w:tcW w:w="6690" w:type="dxa"/>
            <w:vAlign w:val="center"/>
          </w:tcPr>
          <w:p w14:paraId="234F9B58">
            <w:pPr>
              <w:pStyle w:val="143"/>
              <w:bidi w:val="0"/>
              <w:rPr>
                <w:i w:val="0"/>
                <w:iCs w:val="0"/>
                <w:color w:val="auto"/>
                <w:sz w:val="21"/>
                <w:szCs w:val="21"/>
                <w:highlight w:val="none"/>
              </w:rPr>
            </w:pPr>
            <w:r>
              <w:rPr>
                <w:i w:val="0"/>
                <w:iCs w:val="0"/>
                <w:color w:val="auto"/>
                <w:sz w:val="21"/>
                <w:szCs w:val="21"/>
                <w:highlight w:val="none"/>
              </w:rPr>
              <w:t>内容</w:t>
            </w:r>
          </w:p>
        </w:tc>
      </w:tr>
      <w:tr w14:paraId="234F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5A">
            <w:pPr>
              <w:pStyle w:val="143"/>
              <w:bidi w:val="0"/>
              <w:rPr>
                <w:i w:val="0"/>
                <w:iCs w:val="0"/>
                <w:color w:val="auto"/>
                <w:sz w:val="21"/>
                <w:szCs w:val="21"/>
                <w:highlight w:val="none"/>
              </w:rPr>
            </w:pPr>
            <w:r>
              <w:rPr>
                <w:i w:val="0"/>
                <w:iCs w:val="0"/>
                <w:color w:val="auto"/>
                <w:sz w:val="21"/>
                <w:szCs w:val="21"/>
                <w:highlight w:val="none"/>
              </w:rPr>
              <w:t>1</w:t>
            </w:r>
          </w:p>
        </w:tc>
        <w:tc>
          <w:tcPr>
            <w:tcW w:w="1276" w:type="dxa"/>
            <w:vAlign w:val="center"/>
          </w:tcPr>
          <w:p w14:paraId="234F9B5B">
            <w:pPr>
              <w:pStyle w:val="143"/>
              <w:bidi w:val="0"/>
              <w:rPr>
                <w:i w:val="0"/>
                <w:iCs w:val="0"/>
                <w:color w:val="auto"/>
                <w:sz w:val="21"/>
                <w:szCs w:val="21"/>
                <w:highlight w:val="none"/>
              </w:rPr>
            </w:pPr>
            <w:r>
              <w:rPr>
                <w:i w:val="0"/>
                <w:iCs w:val="0"/>
                <w:color w:val="auto"/>
                <w:sz w:val="21"/>
                <w:szCs w:val="21"/>
                <w:highlight w:val="none"/>
              </w:rPr>
              <w:t>施工设计</w:t>
            </w:r>
          </w:p>
        </w:tc>
        <w:tc>
          <w:tcPr>
            <w:tcW w:w="6690" w:type="dxa"/>
            <w:vAlign w:val="center"/>
          </w:tcPr>
          <w:p w14:paraId="234F9B5C">
            <w:pPr>
              <w:pStyle w:val="143"/>
              <w:bidi w:val="0"/>
              <w:jc w:val="left"/>
              <w:rPr>
                <w:i w:val="0"/>
                <w:iCs w:val="0"/>
                <w:color w:val="auto"/>
                <w:sz w:val="21"/>
                <w:szCs w:val="21"/>
                <w:highlight w:val="none"/>
              </w:rPr>
            </w:pPr>
            <w:r>
              <w:rPr>
                <w:i w:val="0"/>
                <w:iCs w:val="0"/>
                <w:color w:val="auto"/>
                <w:sz w:val="21"/>
                <w:szCs w:val="21"/>
                <w:highlight w:val="none"/>
              </w:rPr>
              <w:t>按时提供系统设计资料</w:t>
            </w:r>
            <w:r>
              <w:rPr>
                <w:rFonts w:hint="eastAsia"/>
                <w:i w:val="0"/>
                <w:iCs w:val="0"/>
                <w:color w:val="auto"/>
                <w:sz w:val="21"/>
                <w:szCs w:val="21"/>
                <w:highlight w:val="none"/>
              </w:rPr>
              <w:t>。</w:t>
            </w:r>
          </w:p>
        </w:tc>
      </w:tr>
      <w:tr w14:paraId="234F9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5E">
            <w:pPr>
              <w:pStyle w:val="143"/>
              <w:bidi w:val="0"/>
              <w:rPr>
                <w:i w:val="0"/>
                <w:iCs w:val="0"/>
                <w:color w:val="auto"/>
                <w:sz w:val="21"/>
                <w:szCs w:val="21"/>
                <w:highlight w:val="none"/>
              </w:rPr>
            </w:pPr>
            <w:r>
              <w:rPr>
                <w:i w:val="0"/>
                <w:iCs w:val="0"/>
                <w:color w:val="auto"/>
                <w:sz w:val="21"/>
                <w:szCs w:val="21"/>
                <w:highlight w:val="none"/>
              </w:rPr>
              <w:t>2</w:t>
            </w:r>
          </w:p>
        </w:tc>
        <w:tc>
          <w:tcPr>
            <w:tcW w:w="1276" w:type="dxa"/>
            <w:vAlign w:val="center"/>
          </w:tcPr>
          <w:p w14:paraId="234F9B5F">
            <w:pPr>
              <w:pStyle w:val="143"/>
              <w:bidi w:val="0"/>
              <w:rPr>
                <w:i w:val="0"/>
                <w:iCs w:val="0"/>
                <w:color w:val="auto"/>
                <w:sz w:val="21"/>
                <w:szCs w:val="21"/>
                <w:highlight w:val="none"/>
              </w:rPr>
            </w:pPr>
            <w:r>
              <w:rPr>
                <w:i w:val="0"/>
                <w:iCs w:val="0"/>
                <w:color w:val="auto"/>
                <w:sz w:val="21"/>
                <w:szCs w:val="21"/>
                <w:highlight w:val="none"/>
              </w:rPr>
              <w:t>项目计划</w:t>
            </w:r>
          </w:p>
        </w:tc>
        <w:tc>
          <w:tcPr>
            <w:tcW w:w="6690" w:type="dxa"/>
            <w:vAlign w:val="center"/>
          </w:tcPr>
          <w:p w14:paraId="234F9B60">
            <w:pPr>
              <w:pStyle w:val="143"/>
              <w:bidi w:val="0"/>
              <w:jc w:val="left"/>
              <w:rPr>
                <w:i w:val="0"/>
                <w:iCs w:val="0"/>
                <w:color w:val="auto"/>
                <w:sz w:val="21"/>
                <w:szCs w:val="21"/>
                <w:highlight w:val="none"/>
              </w:rPr>
            </w:pPr>
            <w:r>
              <w:rPr>
                <w:i w:val="0"/>
                <w:iCs w:val="0"/>
                <w:color w:val="auto"/>
                <w:sz w:val="21"/>
                <w:szCs w:val="21"/>
                <w:highlight w:val="none"/>
              </w:rPr>
              <w:t>根据</w:t>
            </w:r>
            <w:r>
              <w:rPr>
                <w:rFonts w:hint="eastAsia"/>
                <w:i w:val="0"/>
                <w:iCs w:val="0"/>
                <w:color w:val="auto"/>
                <w:sz w:val="21"/>
                <w:szCs w:val="21"/>
                <w:highlight w:val="none"/>
                <w:lang w:eastAsia="zh-CN"/>
              </w:rPr>
              <w:t>招标人</w:t>
            </w:r>
            <w:r>
              <w:rPr>
                <w:i w:val="0"/>
                <w:iCs w:val="0"/>
                <w:color w:val="auto"/>
                <w:sz w:val="21"/>
                <w:szCs w:val="21"/>
                <w:highlight w:val="none"/>
              </w:rPr>
              <w:t>的总工期策划要求制定项目各阶段的实施计划</w:t>
            </w:r>
            <w:r>
              <w:rPr>
                <w:rFonts w:hint="eastAsia"/>
                <w:i w:val="0"/>
                <w:iCs w:val="0"/>
                <w:color w:val="auto"/>
                <w:sz w:val="21"/>
                <w:szCs w:val="21"/>
                <w:highlight w:val="none"/>
              </w:rPr>
              <w:t>。</w:t>
            </w:r>
          </w:p>
        </w:tc>
      </w:tr>
      <w:tr w14:paraId="234F9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62">
            <w:pPr>
              <w:pStyle w:val="143"/>
              <w:bidi w:val="0"/>
              <w:rPr>
                <w:i w:val="0"/>
                <w:iCs w:val="0"/>
                <w:color w:val="auto"/>
                <w:sz w:val="21"/>
                <w:szCs w:val="21"/>
                <w:highlight w:val="none"/>
              </w:rPr>
            </w:pPr>
            <w:r>
              <w:rPr>
                <w:i w:val="0"/>
                <w:iCs w:val="0"/>
                <w:color w:val="auto"/>
                <w:sz w:val="21"/>
                <w:szCs w:val="21"/>
                <w:highlight w:val="none"/>
              </w:rPr>
              <w:t>3</w:t>
            </w:r>
          </w:p>
        </w:tc>
        <w:tc>
          <w:tcPr>
            <w:tcW w:w="1276" w:type="dxa"/>
            <w:vAlign w:val="center"/>
          </w:tcPr>
          <w:p w14:paraId="234F9B63">
            <w:pPr>
              <w:pStyle w:val="143"/>
              <w:bidi w:val="0"/>
              <w:rPr>
                <w:i w:val="0"/>
                <w:iCs w:val="0"/>
                <w:color w:val="auto"/>
                <w:sz w:val="21"/>
                <w:szCs w:val="21"/>
                <w:highlight w:val="none"/>
              </w:rPr>
            </w:pPr>
            <w:r>
              <w:rPr>
                <w:i w:val="0"/>
                <w:iCs w:val="0"/>
                <w:color w:val="auto"/>
                <w:sz w:val="21"/>
                <w:szCs w:val="21"/>
                <w:highlight w:val="none"/>
              </w:rPr>
              <w:t>进度控制</w:t>
            </w:r>
          </w:p>
        </w:tc>
        <w:tc>
          <w:tcPr>
            <w:tcW w:w="6690" w:type="dxa"/>
            <w:vAlign w:val="center"/>
          </w:tcPr>
          <w:p w14:paraId="234F9B64">
            <w:pPr>
              <w:pStyle w:val="143"/>
              <w:bidi w:val="0"/>
              <w:jc w:val="left"/>
              <w:rPr>
                <w:i w:val="0"/>
                <w:iCs w:val="0"/>
                <w:color w:val="auto"/>
                <w:sz w:val="21"/>
                <w:szCs w:val="21"/>
                <w:highlight w:val="none"/>
              </w:rPr>
            </w:pPr>
            <w:r>
              <w:rPr>
                <w:i w:val="0"/>
                <w:iCs w:val="0"/>
                <w:color w:val="auto"/>
                <w:sz w:val="21"/>
                <w:szCs w:val="21"/>
                <w:highlight w:val="none"/>
              </w:rPr>
              <w:t>根据最终审批的项目计划，对项目执行过程中的各项任务进行动态管理。在工期进度因各种原因受阻时，投标人必须及时提出解决办法。</w:t>
            </w:r>
          </w:p>
        </w:tc>
      </w:tr>
      <w:tr w14:paraId="234F9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66">
            <w:pPr>
              <w:pStyle w:val="143"/>
              <w:bidi w:val="0"/>
              <w:rPr>
                <w:i w:val="0"/>
                <w:iCs w:val="0"/>
                <w:color w:val="auto"/>
                <w:sz w:val="21"/>
                <w:szCs w:val="21"/>
                <w:highlight w:val="none"/>
              </w:rPr>
            </w:pPr>
            <w:r>
              <w:rPr>
                <w:i w:val="0"/>
                <w:iCs w:val="0"/>
                <w:color w:val="auto"/>
                <w:sz w:val="21"/>
                <w:szCs w:val="21"/>
                <w:highlight w:val="none"/>
              </w:rPr>
              <w:t>4</w:t>
            </w:r>
          </w:p>
        </w:tc>
        <w:tc>
          <w:tcPr>
            <w:tcW w:w="1276" w:type="dxa"/>
            <w:vAlign w:val="center"/>
          </w:tcPr>
          <w:p w14:paraId="234F9B67">
            <w:pPr>
              <w:pStyle w:val="143"/>
              <w:bidi w:val="0"/>
              <w:rPr>
                <w:i w:val="0"/>
                <w:iCs w:val="0"/>
                <w:color w:val="auto"/>
                <w:sz w:val="21"/>
                <w:szCs w:val="21"/>
                <w:highlight w:val="none"/>
              </w:rPr>
            </w:pPr>
            <w:r>
              <w:rPr>
                <w:i w:val="0"/>
                <w:iCs w:val="0"/>
                <w:color w:val="auto"/>
                <w:sz w:val="21"/>
                <w:szCs w:val="21"/>
                <w:highlight w:val="none"/>
              </w:rPr>
              <w:t>质量控制</w:t>
            </w:r>
          </w:p>
        </w:tc>
        <w:tc>
          <w:tcPr>
            <w:tcW w:w="6690" w:type="dxa"/>
            <w:vAlign w:val="center"/>
          </w:tcPr>
          <w:p w14:paraId="234F9B68">
            <w:pPr>
              <w:pStyle w:val="143"/>
              <w:bidi w:val="0"/>
              <w:jc w:val="left"/>
              <w:rPr>
                <w:i w:val="0"/>
                <w:iCs w:val="0"/>
                <w:color w:val="auto"/>
                <w:sz w:val="21"/>
                <w:szCs w:val="21"/>
                <w:highlight w:val="none"/>
              </w:rPr>
            </w:pPr>
            <w:r>
              <w:rPr>
                <w:i w:val="0"/>
                <w:iCs w:val="0"/>
                <w:color w:val="auto"/>
                <w:sz w:val="21"/>
                <w:szCs w:val="21"/>
                <w:highlight w:val="none"/>
              </w:rPr>
              <w:t>按质量体系程序文件、系统质量保证文件的要求实施，并接受</w:t>
            </w:r>
            <w:r>
              <w:rPr>
                <w:rFonts w:hint="eastAsia"/>
                <w:i w:val="0"/>
                <w:iCs w:val="0"/>
                <w:color w:val="auto"/>
                <w:sz w:val="21"/>
                <w:szCs w:val="21"/>
                <w:highlight w:val="none"/>
                <w:lang w:eastAsia="zh-CN"/>
              </w:rPr>
              <w:t>招标人</w:t>
            </w:r>
            <w:r>
              <w:rPr>
                <w:i w:val="0"/>
                <w:iCs w:val="0"/>
                <w:color w:val="auto"/>
                <w:sz w:val="21"/>
                <w:szCs w:val="21"/>
                <w:highlight w:val="none"/>
              </w:rPr>
              <w:t>的监督、检查。</w:t>
            </w:r>
          </w:p>
        </w:tc>
      </w:tr>
      <w:tr w14:paraId="234F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6A">
            <w:pPr>
              <w:pStyle w:val="143"/>
              <w:bidi w:val="0"/>
              <w:rPr>
                <w:i w:val="0"/>
                <w:iCs w:val="0"/>
                <w:color w:val="auto"/>
                <w:sz w:val="21"/>
                <w:szCs w:val="21"/>
                <w:highlight w:val="none"/>
              </w:rPr>
            </w:pPr>
            <w:r>
              <w:rPr>
                <w:i w:val="0"/>
                <w:iCs w:val="0"/>
                <w:color w:val="auto"/>
                <w:sz w:val="21"/>
                <w:szCs w:val="21"/>
                <w:highlight w:val="none"/>
              </w:rPr>
              <w:t>5</w:t>
            </w:r>
          </w:p>
        </w:tc>
        <w:tc>
          <w:tcPr>
            <w:tcW w:w="1276" w:type="dxa"/>
            <w:vAlign w:val="center"/>
          </w:tcPr>
          <w:p w14:paraId="234F9B6B">
            <w:pPr>
              <w:pStyle w:val="143"/>
              <w:bidi w:val="0"/>
              <w:rPr>
                <w:i w:val="0"/>
                <w:iCs w:val="0"/>
                <w:color w:val="auto"/>
                <w:sz w:val="21"/>
                <w:szCs w:val="21"/>
                <w:highlight w:val="none"/>
              </w:rPr>
            </w:pPr>
            <w:r>
              <w:rPr>
                <w:i w:val="0"/>
                <w:iCs w:val="0"/>
                <w:color w:val="auto"/>
                <w:sz w:val="21"/>
                <w:szCs w:val="21"/>
                <w:highlight w:val="none"/>
              </w:rPr>
              <w:t>投资控制</w:t>
            </w:r>
          </w:p>
        </w:tc>
        <w:tc>
          <w:tcPr>
            <w:tcW w:w="6690" w:type="dxa"/>
            <w:vAlign w:val="center"/>
          </w:tcPr>
          <w:p w14:paraId="234F9B6C">
            <w:pPr>
              <w:pStyle w:val="143"/>
              <w:bidi w:val="0"/>
              <w:jc w:val="left"/>
              <w:rPr>
                <w:i w:val="0"/>
                <w:iCs w:val="0"/>
                <w:color w:val="auto"/>
                <w:sz w:val="21"/>
                <w:szCs w:val="21"/>
                <w:highlight w:val="none"/>
              </w:rPr>
            </w:pPr>
            <w:r>
              <w:rPr>
                <w:i w:val="0"/>
                <w:iCs w:val="0"/>
                <w:color w:val="auto"/>
                <w:sz w:val="21"/>
                <w:szCs w:val="21"/>
                <w:highlight w:val="none"/>
              </w:rPr>
              <w:t>应制定项目实施各阶段详细的投资计划；应协助</w:t>
            </w:r>
            <w:r>
              <w:rPr>
                <w:rFonts w:hint="eastAsia"/>
                <w:i w:val="0"/>
                <w:iCs w:val="0"/>
                <w:color w:val="auto"/>
                <w:sz w:val="21"/>
                <w:szCs w:val="21"/>
                <w:highlight w:val="none"/>
                <w:lang w:eastAsia="zh-CN"/>
              </w:rPr>
              <w:t>招标人</w:t>
            </w:r>
            <w:r>
              <w:rPr>
                <w:i w:val="0"/>
                <w:iCs w:val="0"/>
                <w:color w:val="auto"/>
                <w:sz w:val="21"/>
                <w:szCs w:val="21"/>
                <w:highlight w:val="none"/>
              </w:rPr>
              <w:t>进行工程投资控制与管理，对控制工程成本给出合理化建议，制定有关实施措施交由</w:t>
            </w:r>
            <w:r>
              <w:rPr>
                <w:rFonts w:hint="eastAsia"/>
                <w:i w:val="0"/>
                <w:iCs w:val="0"/>
                <w:color w:val="auto"/>
                <w:sz w:val="21"/>
                <w:szCs w:val="21"/>
                <w:highlight w:val="none"/>
                <w:lang w:eastAsia="zh-CN"/>
              </w:rPr>
              <w:t>招标人</w:t>
            </w:r>
            <w:r>
              <w:rPr>
                <w:i w:val="0"/>
                <w:iCs w:val="0"/>
                <w:color w:val="auto"/>
                <w:sz w:val="21"/>
                <w:szCs w:val="21"/>
                <w:highlight w:val="none"/>
              </w:rPr>
              <w:t>确认。</w:t>
            </w:r>
          </w:p>
        </w:tc>
      </w:tr>
      <w:tr w14:paraId="234F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6E">
            <w:pPr>
              <w:pStyle w:val="143"/>
              <w:bidi w:val="0"/>
              <w:rPr>
                <w:i w:val="0"/>
                <w:iCs w:val="0"/>
                <w:color w:val="auto"/>
                <w:sz w:val="21"/>
                <w:szCs w:val="21"/>
                <w:highlight w:val="none"/>
              </w:rPr>
            </w:pPr>
            <w:r>
              <w:rPr>
                <w:i w:val="0"/>
                <w:iCs w:val="0"/>
                <w:color w:val="auto"/>
                <w:sz w:val="21"/>
                <w:szCs w:val="21"/>
                <w:highlight w:val="none"/>
              </w:rPr>
              <w:t>6</w:t>
            </w:r>
          </w:p>
        </w:tc>
        <w:tc>
          <w:tcPr>
            <w:tcW w:w="1276" w:type="dxa"/>
            <w:vAlign w:val="center"/>
          </w:tcPr>
          <w:p w14:paraId="234F9B6F">
            <w:pPr>
              <w:pStyle w:val="143"/>
              <w:bidi w:val="0"/>
              <w:rPr>
                <w:i w:val="0"/>
                <w:iCs w:val="0"/>
                <w:color w:val="auto"/>
                <w:sz w:val="21"/>
                <w:szCs w:val="21"/>
                <w:highlight w:val="none"/>
              </w:rPr>
            </w:pPr>
            <w:r>
              <w:rPr>
                <w:i w:val="0"/>
                <w:iCs w:val="0"/>
                <w:color w:val="auto"/>
                <w:sz w:val="21"/>
                <w:szCs w:val="21"/>
                <w:highlight w:val="none"/>
              </w:rPr>
              <w:t>图纸文件</w:t>
            </w:r>
          </w:p>
        </w:tc>
        <w:tc>
          <w:tcPr>
            <w:tcW w:w="6690" w:type="dxa"/>
            <w:vAlign w:val="center"/>
          </w:tcPr>
          <w:p w14:paraId="234F9B70">
            <w:pPr>
              <w:pStyle w:val="143"/>
              <w:bidi w:val="0"/>
              <w:jc w:val="left"/>
              <w:rPr>
                <w:i w:val="0"/>
                <w:iCs w:val="0"/>
                <w:color w:val="auto"/>
                <w:sz w:val="21"/>
                <w:szCs w:val="21"/>
                <w:highlight w:val="none"/>
              </w:rPr>
            </w:pPr>
            <w:r>
              <w:rPr>
                <w:i w:val="0"/>
                <w:iCs w:val="0"/>
                <w:color w:val="auto"/>
                <w:sz w:val="21"/>
                <w:szCs w:val="21"/>
                <w:highlight w:val="none"/>
              </w:rPr>
              <w:t>按照批准的文件要求，按计划提供所有文件。建立文件管理规定、要求，对提交给</w:t>
            </w:r>
            <w:r>
              <w:rPr>
                <w:rFonts w:hint="eastAsia"/>
                <w:i w:val="0"/>
                <w:iCs w:val="0"/>
                <w:color w:val="auto"/>
                <w:sz w:val="21"/>
                <w:szCs w:val="21"/>
                <w:highlight w:val="none"/>
                <w:lang w:eastAsia="zh-CN"/>
              </w:rPr>
              <w:t>招标人</w:t>
            </w:r>
            <w:r>
              <w:rPr>
                <w:i w:val="0"/>
                <w:iCs w:val="0"/>
                <w:color w:val="auto"/>
                <w:sz w:val="21"/>
                <w:szCs w:val="21"/>
                <w:highlight w:val="none"/>
              </w:rPr>
              <w:t>的文件实行管理。</w:t>
            </w:r>
          </w:p>
        </w:tc>
      </w:tr>
      <w:tr w14:paraId="234F9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72">
            <w:pPr>
              <w:pStyle w:val="143"/>
              <w:bidi w:val="0"/>
              <w:rPr>
                <w:i w:val="0"/>
                <w:iCs w:val="0"/>
                <w:color w:val="auto"/>
                <w:sz w:val="21"/>
                <w:szCs w:val="21"/>
                <w:highlight w:val="none"/>
              </w:rPr>
            </w:pPr>
            <w:r>
              <w:rPr>
                <w:i w:val="0"/>
                <w:iCs w:val="0"/>
                <w:color w:val="auto"/>
                <w:sz w:val="21"/>
                <w:szCs w:val="21"/>
                <w:highlight w:val="none"/>
              </w:rPr>
              <w:t>7</w:t>
            </w:r>
          </w:p>
        </w:tc>
        <w:tc>
          <w:tcPr>
            <w:tcW w:w="1276" w:type="dxa"/>
            <w:vAlign w:val="center"/>
          </w:tcPr>
          <w:p w14:paraId="234F9B73">
            <w:pPr>
              <w:pStyle w:val="143"/>
              <w:bidi w:val="0"/>
              <w:rPr>
                <w:i w:val="0"/>
                <w:iCs w:val="0"/>
                <w:color w:val="auto"/>
                <w:sz w:val="21"/>
                <w:szCs w:val="21"/>
                <w:highlight w:val="none"/>
              </w:rPr>
            </w:pPr>
            <w:r>
              <w:rPr>
                <w:i w:val="0"/>
                <w:iCs w:val="0"/>
                <w:color w:val="auto"/>
                <w:sz w:val="21"/>
                <w:szCs w:val="21"/>
                <w:highlight w:val="none"/>
              </w:rPr>
              <w:t>设计联络</w:t>
            </w:r>
          </w:p>
        </w:tc>
        <w:tc>
          <w:tcPr>
            <w:tcW w:w="6690" w:type="dxa"/>
            <w:vAlign w:val="center"/>
          </w:tcPr>
          <w:p w14:paraId="234F9B74">
            <w:pPr>
              <w:pStyle w:val="143"/>
              <w:bidi w:val="0"/>
              <w:jc w:val="left"/>
              <w:rPr>
                <w:i w:val="0"/>
                <w:iCs w:val="0"/>
                <w:color w:val="auto"/>
                <w:sz w:val="21"/>
                <w:szCs w:val="21"/>
                <w:highlight w:val="none"/>
              </w:rPr>
            </w:pPr>
            <w:r>
              <w:rPr>
                <w:i w:val="0"/>
                <w:iCs w:val="0"/>
                <w:color w:val="auto"/>
                <w:sz w:val="21"/>
                <w:szCs w:val="21"/>
                <w:highlight w:val="none"/>
              </w:rPr>
              <w:t>制定设计联络计划报</w:t>
            </w:r>
            <w:r>
              <w:rPr>
                <w:rFonts w:hint="eastAsia"/>
                <w:i w:val="0"/>
                <w:iCs w:val="0"/>
                <w:color w:val="auto"/>
                <w:sz w:val="21"/>
                <w:szCs w:val="21"/>
                <w:highlight w:val="none"/>
                <w:lang w:eastAsia="zh-CN"/>
              </w:rPr>
              <w:t>招标人</w:t>
            </w:r>
            <w:r>
              <w:rPr>
                <w:i w:val="0"/>
                <w:iCs w:val="0"/>
                <w:color w:val="auto"/>
                <w:sz w:val="21"/>
                <w:szCs w:val="21"/>
                <w:highlight w:val="none"/>
              </w:rPr>
              <w:t>审评审批，组织</w:t>
            </w:r>
            <w:r>
              <w:rPr>
                <w:rFonts w:hint="eastAsia"/>
                <w:i w:val="0"/>
                <w:iCs w:val="0"/>
                <w:color w:val="auto"/>
                <w:sz w:val="21"/>
                <w:szCs w:val="21"/>
                <w:highlight w:val="none"/>
                <w:lang w:eastAsia="zh-CN"/>
              </w:rPr>
              <w:t>招标人</w:t>
            </w:r>
            <w:r>
              <w:rPr>
                <w:i w:val="0"/>
                <w:iCs w:val="0"/>
                <w:color w:val="auto"/>
                <w:sz w:val="21"/>
                <w:szCs w:val="21"/>
                <w:highlight w:val="none"/>
              </w:rPr>
              <w:t>、设计单位参加设计联络，做好设计联络的准备工作。</w:t>
            </w:r>
          </w:p>
        </w:tc>
      </w:tr>
      <w:tr w14:paraId="234F9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76">
            <w:pPr>
              <w:pStyle w:val="143"/>
              <w:bidi w:val="0"/>
              <w:rPr>
                <w:i w:val="0"/>
                <w:iCs w:val="0"/>
                <w:color w:val="auto"/>
                <w:sz w:val="21"/>
                <w:szCs w:val="21"/>
                <w:highlight w:val="none"/>
              </w:rPr>
            </w:pPr>
            <w:r>
              <w:rPr>
                <w:i w:val="0"/>
                <w:iCs w:val="0"/>
                <w:color w:val="auto"/>
                <w:sz w:val="21"/>
                <w:szCs w:val="21"/>
                <w:highlight w:val="none"/>
              </w:rPr>
              <w:t>8</w:t>
            </w:r>
          </w:p>
        </w:tc>
        <w:tc>
          <w:tcPr>
            <w:tcW w:w="1276" w:type="dxa"/>
            <w:vAlign w:val="center"/>
          </w:tcPr>
          <w:p w14:paraId="234F9B77">
            <w:pPr>
              <w:pStyle w:val="143"/>
              <w:bidi w:val="0"/>
              <w:rPr>
                <w:i w:val="0"/>
                <w:iCs w:val="0"/>
                <w:color w:val="auto"/>
                <w:sz w:val="21"/>
                <w:szCs w:val="21"/>
                <w:highlight w:val="none"/>
              </w:rPr>
            </w:pPr>
            <w:r>
              <w:rPr>
                <w:i w:val="0"/>
                <w:iCs w:val="0"/>
                <w:color w:val="auto"/>
                <w:sz w:val="21"/>
                <w:szCs w:val="21"/>
                <w:highlight w:val="none"/>
              </w:rPr>
              <w:t>产品设计</w:t>
            </w:r>
          </w:p>
        </w:tc>
        <w:tc>
          <w:tcPr>
            <w:tcW w:w="6690" w:type="dxa"/>
            <w:vAlign w:val="center"/>
          </w:tcPr>
          <w:p w14:paraId="234F9B78">
            <w:pPr>
              <w:pStyle w:val="143"/>
              <w:bidi w:val="0"/>
              <w:jc w:val="left"/>
              <w:rPr>
                <w:i w:val="0"/>
                <w:iCs w:val="0"/>
                <w:color w:val="auto"/>
                <w:sz w:val="21"/>
                <w:szCs w:val="21"/>
                <w:highlight w:val="none"/>
              </w:rPr>
            </w:pPr>
            <w:r>
              <w:rPr>
                <w:i w:val="0"/>
                <w:iCs w:val="0"/>
                <w:color w:val="auto"/>
                <w:sz w:val="21"/>
                <w:szCs w:val="21"/>
                <w:highlight w:val="none"/>
              </w:rPr>
              <w:t>根据技术规范书要求，对产品系统进项设计，并对结果负责。</w:t>
            </w:r>
          </w:p>
        </w:tc>
      </w:tr>
      <w:tr w14:paraId="234F9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7A">
            <w:pPr>
              <w:pStyle w:val="143"/>
              <w:bidi w:val="0"/>
              <w:rPr>
                <w:i w:val="0"/>
                <w:iCs w:val="0"/>
                <w:color w:val="auto"/>
                <w:sz w:val="21"/>
                <w:szCs w:val="21"/>
                <w:highlight w:val="none"/>
              </w:rPr>
            </w:pPr>
            <w:r>
              <w:rPr>
                <w:i w:val="0"/>
                <w:iCs w:val="0"/>
                <w:color w:val="auto"/>
                <w:sz w:val="21"/>
                <w:szCs w:val="21"/>
                <w:highlight w:val="none"/>
              </w:rPr>
              <w:t>9</w:t>
            </w:r>
          </w:p>
        </w:tc>
        <w:tc>
          <w:tcPr>
            <w:tcW w:w="1276" w:type="dxa"/>
            <w:vAlign w:val="center"/>
          </w:tcPr>
          <w:p w14:paraId="234F9B7B">
            <w:pPr>
              <w:pStyle w:val="143"/>
              <w:bidi w:val="0"/>
              <w:rPr>
                <w:i w:val="0"/>
                <w:iCs w:val="0"/>
                <w:color w:val="auto"/>
                <w:sz w:val="21"/>
                <w:szCs w:val="21"/>
                <w:highlight w:val="none"/>
              </w:rPr>
            </w:pPr>
            <w:r>
              <w:rPr>
                <w:i w:val="0"/>
                <w:iCs w:val="0"/>
                <w:color w:val="auto"/>
                <w:sz w:val="21"/>
                <w:szCs w:val="21"/>
                <w:highlight w:val="none"/>
              </w:rPr>
              <w:t>产品制造</w:t>
            </w:r>
          </w:p>
        </w:tc>
        <w:tc>
          <w:tcPr>
            <w:tcW w:w="6690" w:type="dxa"/>
            <w:vAlign w:val="center"/>
          </w:tcPr>
          <w:p w14:paraId="234F9B7C">
            <w:pPr>
              <w:pStyle w:val="143"/>
              <w:bidi w:val="0"/>
              <w:jc w:val="left"/>
              <w:rPr>
                <w:i w:val="0"/>
                <w:iCs w:val="0"/>
                <w:color w:val="auto"/>
                <w:sz w:val="21"/>
                <w:szCs w:val="21"/>
                <w:highlight w:val="none"/>
              </w:rPr>
            </w:pPr>
            <w:r>
              <w:rPr>
                <w:i w:val="0"/>
                <w:iCs w:val="0"/>
                <w:color w:val="auto"/>
                <w:sz w:val="21"/>
                <w:szCs w:val="21"/>
                <w:highlight w:val="none"/>
              </w:rPr>
              <w:t>根据已通过审批的产品、系统设计文件，按照质量程序文件和质量保证体系进行产品制造。</w:t>
            </w:r>
          </w:p>
        </w:tc>
      </w:tr>
      <w:tr w14:paraId="234F9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7E">
            <w:pPr>
              <w:pStyle w:val="143"/>
              <w:bidi w:val="0"/>
              <w:rPr>
                <w:i w:val="0"/>
                <w:iCs w:val="0"/>
                <w:color w:val="auto"/>
                <w:sz w:val="21"/>
                <w:szCs w:val="21"/>
                <w:highlight w:val="none"/>
              </w:rPr>
            </w:pPr>
            <w:r>
              <w:rPr>
                <w:i w:val="0"/>
                <w:iCs w:val="0"/>
                <w:color w:val="auto"/>
                <w:sz w:val="21"/>
                <w:szCs w:val="21"/>
                <w:highlight w:val="none"/>
              </w:rPr>
              <w:t>10</w:t>
            </w:r>
          </w:p>
        </w:tc>
        <w:tc>
          <w:tcPr>
            <w:tcW w:w="1276" w:type="dxa"/>
            <w:vAlign w:val="center"/>
          </w:tcPr>
          <w:p w14:paraId="234F9B7F">
            <w:pPr>
              <w:pStyle w:val="143"/>
              <w:bidi w:val="0"/>
              <w:rPr>
                <w:i w:val="0"/>
                <w:iCs w:val="0"/>
                <w:color w:val="auto"/>
                <w:sz w:val="21"/>
                <w:szCs w:val="21"/>
                <w:highlight w:val="none"/>
              </w:rPr>
            </w:pPr>
            <w:r>
              <w:rPr>
                <w:i w:val="0"/>
                <w:iCs w:val="0"/>
                <w:color w:val="auto"/>
                <w:sz w:val="21"/>
                <w:szCs w:val="21"/>
                <w:highlight w:val="none"/>
              </w:rPr>
              <w:t>系统</w:t>
            </w:r>
            <w:r>
              <w:rPr>
                <w:rFonts w:hint="eastAsia"/>
                <w:i w:val="0"/>
                <w:iCs w:val="0"/>
                <w:color w:val="auto"/>
                <w:sz w:val="21"/>
                <w:szCs w:val="21"/>
                <w:highlight w:val="none"/>
              </w:rPr>
              <w:t>内部</w:t>
            </w:r>
            <w:r>
              <w:rPr>
                <w:i w:val="0"/>
                <w:iCs w:val="0"/>
                <w:color w:val="auto"/>
                <w:sz w:val="21"/>
                <w:szCs w:val="21"/>
                <w:highlight w:val="none"/>
              </w:rPr>
              <w:t>接口</w:t>
            </w:r>
          </w:p>
        </w:tc>
        <w:tc>
          <w:tcPr>
            <w:tcW w:w="6690" w:type="dxa"/>
            <w:vAlign w:val="center"/>
          </w:tcPr>
          <w:p w14:paraId="234F9B80">
            <w:pPr>
              <w:pStyle w:val="143"/>
              <w:bidi w:val="0"/>
              <w:jc w:val="left"/>
              <w:rPr>
                <w:i w:val="0"/>
                <w:iCs w:val="0"/>
                <w:color w:val="auto"/>
                <w:sz w:val="21"/>
                <w:szCs w:val="21"/>
                <w:highlight w:val="none"/>
              </w:rPr>
            </w:pPr>
            <w:r>
              <w:rPr>
                <w:i w:val="0"/>
                <w:iCs w:val="0"/>
                <w:color w:val="auto"/>
                <w:sz w:val="21"/>
                <w:szCs w:val="21"/>
                <w:highlight w:val="none"/>
              </w:rPr>
              <w:t>制定本系统的接口规范，并负责其正确性。进行系统内部设备间的接口管理，协调各系统设备供货商之间的关系</w:t>
            </w:r>
            <w:r>
              <w:rPr>
                <w:rFonts w:hint="eastAsia"/>
                <w:i w:val="0"/>
                <w:iCs w:val="0"/>
                <w:color w:val="auto"/>
                <w:sz w:val="21"/>
                <w:szCs w:val="21"/>
                <w:highlight w:val="none"/>
              </w:rPr>
              <w:t>，对接口的实施总负责</w:t>
            </w:r>
            <w:r>
              <w:rPr>
                <w:i w:val="0"/>
                <w:iCs w:val="0"/>
                <w:color w:val="auto"/>
                <w:sz w:val="21"/>
                <w:szCs w:val="21"/>
                <w:highlight w:val="none"/>
              </w:rPr>
              <w:t>。</w:t>
            </w:r>
          </w:p>
        </w:tc>
      </w:tr>
      <w:tr w14:paraId="234F9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82">
            <w:pPr>
              <w:pStyle w:val="143"/>
              <w:bidi w:val="0"/>
              <w:rPr>
                <w:i w:val="0"/>
                <w:iCs w:val="0"/>
                <w:color w:val="auto"/>
                <w:sz w:val="21"/>
                <w:szCs w:val="21"/>
                <w:highlight w:val="none"/>
              </w:rPr>
            </w:pPr>
            <w:r>
              <w:rPr>
                <w:i w:val="0"/>
                <w:iCs w:val="0"/>
                <w:color w:val="auto"/>
                <w:sz w:val="21"/>
                <w:szCs w:val="21"/>
                <w:highlight w:val="none"/>
              </w:rPr>
              <w:t>11</w:t>
            </w:r>
          </w:p>
        </w:tc>
        <w:tc>
          <w:tcPr>
            <w:tcW w:w="1276" w:type="dxa"/>
            <w:vAlign w:val="center"/>
          </w:tcPr>
          <w:p w14:paraId="234F9B83">
            <w:pPr>
              <w:pStyle w:val="143"/>
              <w:bidi w:val="0"/>
              <w:rPr>
                <w:i w:val="0"/>
                <w:iCs w:val="0"/>
                <w:color w:val="auto"/>
                <w:sz w:val="21"/>
                <w:szCs w:val="21"/>
                <w:highlight w:val="none"/>
              </w:rPr>
            </w:pPr>
            <w:r>
              <w:rPr>
                <w:i w:val="0"/>
                <w:iCs w:val="0"/>
                <w:color w:val="auto"/>
                <w:sz w:val="21"/>
                <w:szCs w:val="21"/>
                <w:highlight w:val="none"/>
              </w:rPr>
              <w:t>与其他系统间的接口</w:t>
            </w:r>
          </w:p>
        </w:tc>
        <w:tc>
          <w:tcPr>
            <w:tcW w:w="6690" w:type="dxa"/>
            <w:vAlign w:val="center"/>
          </w:tcPr>
          <w:p w14:paraId="234F9B84">
            <w:pPr>
              <w:pStyle w:val="143"/>
              <w:bidi w:val="0"/>
              <w:jc w:val="left"/>
              <w:rPr>
                <w:i w:val="0"/>
                <w:iCs w:val="0"/>
                <w:color w:val="auto"/>
                <w:sz w:val="21"/>
                <w:szCs w:val="21"/>
                <w:highlight w:val="none"/>
              </w:rPr>
            </w:pPr>
            <w:r>
              <w:rPr>
                <w:i w:val="0"/>
                <w:iCs w:val="0"/>
                <w:color w:val="auto"/>
                <w:sz w:val="21"/>
                <w:szCs w:val="21"/>
                <w:highlight w:val="none"/>
              </w:rPr>
              <w:t>制定本系统与其他系统的接口规范。根据审批的接口规范完成本系统设备的接口任务，并提供技术资料实现与其他系统的接口配合。负责各接口功能的实现。</w:t>
            </w:r>
          </w:p>
        </w:tc>
      </w:tr>
      <w:tr w14:paraId="234F9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86">
            <w:pPr>
              <w:pStyle w:val="143"/>
              <w:bidi w:val="0"/>
              <w:rPr>
                <w:i w:val="0"/>
                <w:iCs w:val="0"/>
                <w:color w:val="auto"/>
                <w:sz w:val="21"/>
                <w:szCs w:val="21"/>
                <w:highlight w:val="none"/>
              </w:rPr>
            </w:pPr>
            <w:r>
              <w:rPr>
                <w:i w:val="0"/>
                <w:iCs w:val="0"/>
                <w:color w:val="auto"/>
                <w:sz w:val="21"/>
                <w:szCs w:val="21"/>
                <w:highlight w:val="none"/>
              </w:rPr>
              <w:t>12</w:t>
            </w:r>
          </w:p>
        </w:tc>
        <w:tc>
          <w:tcPr>
            <w:tcW w:w="1276" w:type="dxa"/>
            <w:vAlign w:val="center"/>
          </w:tcPr>
          <w:p w14:paraId="234F9B87">
            <w:pPr>
              <w:pStyle w:val="143"/>
              <w:bidi w:val="0"/>
              <w:rPr>
                <w:i w:val="0"/>
                <w:iCs w:val="0"/>
                <w:color w:val="auto"/>
                <w:sz w:val="21"/>
                <w:szCs w:val="21"/>
                <w:highlight w:val="none"/>
              </w:rPr>
            </w:pPr>
            <w:r>
              <w:rPr>
                <w:i w:val="0"/>
                <w:iCs w:val="0"/>
                <w:color w:val="auto"/>
                <w:sz w:val="21"/>
                <w:szCs w:val="21"/>
                <w:highlight w:val="none"/>
              </w:rPr>
              <w:t>工厂测试检验</w:t>
            </w:r>
          </w:p>
        </w:tc>
        <w:tc>
          <w:tcPr>
            <w:tcW w:w="6690" w:type="dxa"/>
            <w:vAlign w:val="center"/>
          </w:tcPr>
          <w:p w14:paraId="234F9B88">
            <w:pPr>
              <w:pStyle w:val="143"/>
              <w:bidi w:val="0"/>
              <w:jc w:val="left"/>
              <w:rPr>
                <w:i w:val="0"/>
                <w:iCs w:val="0"/>
                <w:color w:val="auto"/>
                <w:sz w:val="21"/>
                <w:szCs w:val="21"/>
                <w:highlight w:val="none"/>
              </w:rPr>
            </w:pPr>
            <w:r>
              <w:rPr>
                <w:i w:val="0"/>
                <w:iCs w:val="0"/>
                <w:color w:val="auto"/>
                <w:sz w:val="21"/>
                <w:szCs w:val="21"/>
                <w:highlight w:val="none"/>
              </w:rPr>
              <w:t>应根据合同要求，编制测试检验规范书和测试检验计划，报</w:t>
            </w:r>
            <w:r>
              <w:rPr>
                <w:rFonts w:hint="eastAsia"/>
                <w:i w:val="0"/>
                <w:iCs w:val="0"/>
                <w:color w:val="auto"/>
                <w:sz w:val="21"/>
                <w:szCs w:val="21"/>
                <w:highlight w:val="none"/>
                <w:lang w:eastAsia="zh-CN"/>
              </w:rPr>
              <w:t>招标人</w:t>
            </w:r>
            <w:r>
              <w:rPr>
                <w:i w:val="0"/>
                <w:iCs w:val="0"/>
                <w:color w:val="auto"/>
                <w:sz w:val="21"/>
                <w:szCs w:val="21"/>
                <w:highlight w:val="none"/>
              </w:rPr>
              <w:t>批准执行，并对试验结果负责。</w:t>
            </w:r>
          </w:p>
        </w:tc>
      </w:tr>
      <w:tr w14:paraId="234F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8A">
            <w:pPr>
              <w:pStyle w:val="143"/>
              <w:bidi w:val="0"/>
              <w:rPr>
                <w:i w:val="0"/>
                <w:iCs w:val="0"/>
                <w:color w:val="auto"/>
                <w:sz w:val="21"/>
                <w:szCs w:val="21"/>
                <w:highlight w:val="none"/>
              </w:rPr>
            </w:pPr>
            <w:r>
              <w:rPr>
                <w:i w:val="0"/>
                <w:iCs w:val="0"/>
                <w:color w:val="auto"/>
                <w:sz w:val="21"/>
                <w:szCs w:val="21"/>
                <w:highlight w:val="none"/>
              </w:rPr>
              <w:t>13</w:t>
            </w:r>
          </w:p>
        </w:tc>
        <w:tc>
          <w:tcPr>
            <w:tcW w:w="1276" w:type="dxa"/>
            <w:vAlign w:val="center"/>
          </w:tcPr>
          <w:p w14:paraId="234F9B8B">
            <w:pPr>
              <w:pStyle w:val="143"/>
              <w:bidi w:val="0"/>
              <w:rPr>
                <w:i w:val="0"/>
                <w:iCs w:val="0"/>
                <w:color w:val="auto"/>
                <w:sz w:val="21"/>
                <w:szCs w:val="21"/>
                <w:highlight w:val="none"/>
              </w:rPr>
            </w:pPr>
            <w:r>
              <w:rPr>
                <w:i w:val="0"/>
                <w:iCs w:val="0"/>
                <w:color w:val="auto"/>
                <w:sz w:val="21"/>
                <w:szCs w:val="21"/>
                <w:highlight w:val="none"/>
              </w:rPr>
              <w:t>出厂检验</w:t>
            </w:r>
          </w:p>
        </w:tc>
        <w:tc>
          <w:tcPr>
            <w:tcW w:w="6690" w:type="dxa"/>
            <w:vAlign w:val="center"/>
          </w:tcPr>
          <w:p w14:paraId="234F9B8C">
            <w:pPr>
              <w:pStyle w:val="143"/>
              <w:bidi w:val="0"/>
              <w:jc w:val="left"/>
              <w:rPr>
                <w:i w:val="0"/>
                <w:iCs w:val="0"/>
                <w:color w:val="auto"/>
                <w:sz w:val="21"/>
                <w:szCs w:val="21"/>
                <w:highlight w:val="none"/>
              </w:rPr>
            </w:pPr>
            <w:r>
              <w:rPr>
                <w:i w:val="0"/>
                <w:iCs w:val="0"/>
                <w:color w:val="auto"/>
                <w:sz w:val="21"/>
                <w:szCs w:val="21"/>
                <w:highlight w:val="none"/>
              </w:rPr>
              <w:t>应按批准的检验规范书的具体要求组织分包商对设备进行严格的出厂检验，并随时接受</w:t>
            </w:r>
            <w:r>
              <w:rPr>
                <w:rFonts w:hint="eastAsia"/>
                <w:i w:val="0"/>
                <w:iCs w:val="0"/>
                <w:color w:val="auto"/>
                <w:sz w:val="21"/>
                <w:szCs w:val="21"/>
                <w:highlight w:val="none"/>
                <w:lang w:eastAsia="zh-CN"/>
              </w:rPr>
              <w:t>招标人</w:t>
            </w:r>
            <w:r>
              <w:rPr>
                <w:i w:val="0"/>
                <w:iCs w:val="0"/>
                <w:color w:val="auto"/>
                <w:sz w:val="21"/>
                <w:szCs w:val="21"/>
                <w:highlight w:val="none"/>
              </w:rPr>
              <w:t>的检查。</w:t>
            </w:r>
          </w:p>
        </w:tc>
      </w:tr>
      <w:tr w14:paraId="234F9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8E">
            <w:pPr>
              <w:pStyle w:val="143"/>
              <w:bidi w:val="0"/>
              <w:rPr>
                <w:i w:val="0"/>
                <w:iCs w:val="0"/>
                <w:color w:val="auto"/>
                <w:sz w:val="21"/>
                <w:szCs w:val="21"/>
                <w:highlight w:val="none"/>
              </w:rPr>
            </w:pPr>
            <w:r>
              <w:rPr>
                <w:i w:val="0"/>
                <w:iCs w:val="0"/>
                <w:color w:val="auto"/>
                <w:sz w:val="21"/>
                <w:szCs w:val="21"/>
                <w:highlight w:val="none"/>
              </w:rPr>
              <w:t>14</w:t>
            </w:r>
          </w:p>
        </w:tc>
        <w:tc>
          <w:tcPr>
            <w:tcW w:w="1276" w:type="dxa"/>
            <w:vAlign w:val="center"/>
          </w:tcPr>
          <w:p w14:paraId="234F9B8F">
            <w:pPr>
              <w:pStyle w:val="143"/>
              <w:bidi w:val="0"/>
              <w:rPr>
                <w:i w:val="0"/>
                <w:iCs w:val="0"/>
                <w:color w:val="auto"/>
                <w:sz w:val="21"/>
                <w:szCs w:val="21"/>
                <w:highlight w:val="none"/>
              </w:rPr>
            </w:pPr>
            <w:r>
              <w:rPr>
                <w:i w:val="0"/>
                <w:iCs w:val="0"/>
                <w:color w:val="auto"/>
                <w:sz w:val="21"/>
                <w:szCs w:val="21"/>
                <w:highlight w:val="none"/>
              </w:rPr>
              <w:t>包装运输</w:t>
            </w:r>
          </w:p>
        </w:tc>
        <w:tc>
          <w:tcPr>
            <w:tcW w:w="6690" w:type="dxa"/>
            <w:vAlign w:val="center"/>
          </w:tcPr>
          <w:p w14:paraId="234F9B90">
            <w:pPr>
              <w:pStyle w:val="143"/>
              <w:bidi w:val="0"/>
              <w:jc w:val="left"/>
              <w:rPr>
                <w:i w:val="0"/>
                <w:iCs w:val="0"/>
                <w:color w:val="auto"/>
                <w:sz w:val="21"/>
                <w:szCs w:val="21"/>
                <w:highlight w:val="none"/>
              </w:rPr>
            </w:pPr>
            <w:r>
              <w:rPr>
                <w:i w:val="0"/>
                <w:iCs w:val="0"/>
                <w:color w:val="auto"/>
                <w:sz w:val="21"/>
                <w:szCs w:val="21"/>
                <w:highlight w:val="none"/>
              </w:rPr>
              <w:t>按合同要求负责编制运输计划，包装，组织</w:t>
            </w:r>
            <w:r>
              <w:rPr>
                <w:rFonts w:hint="eastAsia"/>
                <w:i w:val="0"/>
                <w:iCs w:val="0"/>
                <w:color w:val="auto"/>
                <w:sz w:val="21"/>
                <w:szCs w:val="21"/>
                <w:highlight w:val="none"/>
              </w:rPr>
              <w:t>本标段所有设备及材料（含施工辅材）</w:t>
            </w:r>
            <w:r>
              <w:rPr>
                <w:i w:val="0"/>
                <w:iCs w:val="0"/>
                <w:color w:val="auto"/>
                <w:sz w:val="21"/>
                <w:szCs w:val="21"/>
                <w:highlight w:val="none"/>
              </w:rPr>
              <w:t>运输到达指定地点和到货检查工作(含二次搬运)。</w:t>
            </w:r>
          </w:p>
        </w:tc>
      </w:tr>
      <w:tr w14:paraId="234F9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92">
            <w:pPr>
              <w:pStyle w:val="143"/>
              <w:bidi w:val="0"/>
              <w:rPr>
                <w:i w:val="0"/>
                <w:iCs w:val="0"/>
                <w:color w:val="auto"/>
                <w:sz w:val="21"/>
                <w:szCs w:val="21"/>
                <w:highlight w:val="none"/>
              </w:rPr>
            </w:pPr>
            <w:r>
              <w:rPr>
                <w:i w:val="0"/>
                <w:iCs w:val="0"/>
                <w:color w:val="auto"/>
                <w:sz w:val="21"/>
                <w:szCs w:val="21"/>
                <w:highlight w:val="none"/>
              </w:rPr>
              <w:t>15</w:t>
            </w:r>
          </w:p>
        </w:tc>
        <w:tc>
          <w:tcPr>
            <w:tcW w:w="1276" w:type="dxa"/>
            <w:vAlign w:val="center"/>
          </w:tcPr>
          <w:p w14:paraId="234F9B93">
            <w:pPr>
              <w:pStyle w:val="143"/>
              <w:bidi w:val="0"/>
              <w:rPr>
                <w:i w:val="0"/>
                <w:iCs w:val="0"/>
                <w:color w:val="auto"/>
                <w:sz w:val="21"/>
                <w:szCs w:val="21"/>
                <w:highlight w:val="none"/>
              </w:rPr>
            </w:pPr>
            <w:r>
              <w:rPr>
                <w:i w:val="0"/>
                <w:iCs w:val="0"/>
                <w:color w:val="auto"/>
                <w:sz w:val="21"/>
                <w:szCs w:val="21"/>
                <w:highlight w:val="none"/>
              </w:rPr>
              <w:t>仓储</w:t>
            </w:r>
          </w:p>
        </w:tc>
        <w:tc>
          <w:tcPr>
            <w:tcW w:w="6690" w:type="dxa"/>
            <w:vAlign w:val="center"/>
          </w:tcPr>
          <w:p w14:paraId="234F9B94">
            <w:pPr>
              <w:pStyle w:val="143"/>
              <w:bidi w:val="0"/>
              <w:jc w:val="left"/>
              <w:rPr>
                <w:i w:val="0"/>
                <w:iCs w:val="0"/>
                <w:color w:val="auto"/>
                <w:sz w:val="21"/>
                <w:szCs w:val="21"/>
                <w:highlight w:val="none"/>
              </w:rPr>
            </w:pPr>
            <w:r>
              <w:rPr>
                <w:i w:val="0"/>
                <w:iCs w:val="0"/>
                <w:color w:val="auto"/>
                <w:sz w:val="21"/>
                <w:szCs w:val="21"/>
                <w:highlight w:val="none"/>
              </w:rPr>
              <w:t>应根据设备的特点提供满足仓储条件的仓储</w:t>
            </w:r>
            <w:r>
              <w:rPr>
                <w:rFonts w:hint="eastAsia"/>
                <w:i w:val="0"/>
                <w:iCs w:val="0"/>
                <w:color w:val="auto"/>
                <w:sz w:val="21"/>
                <w:szCs w:val="21"/>
                <w:highlight w:val="none"/>
              </w:rPr>
              <w:t>，包括本标段所有设备及材料（含施工辅材）</w:t>
            </w:r>
            <w:r>
              <w:rPr>
                <w:i w:val="0"/>
                <w:iCs w:val="0"/>
                <w:color w:val="auto"/>
                <w:sz w:val="21"/>
                <w:szCs w:val="21"/>
                <w:highlight w:val="none"/>
              </w:rPr>
              <w:t>。</w:t>
            </w:r>
          </w:p>
        </w:tc>
      </w:tr>
      <w:tr w14:paraId="234F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96">
            <w:pPr>
              <w:pStyle w:val="143"/>
              <w:bidi w:val="0"/>
              <w:rPr>
                <w:i w:val="0"/>
                <w:iCs w:val="0"/>
                <w:color w:val="auto"/>
                <w:sz w:val="21"/>
                <w:szCs w:val="21"/>
                <w:highlight w:val="none"/>
              </w:rPr>
            </w:pPr>
            <w:r>
              <w:rPr>
                <w:i w:val="0"/>
                <w:iCs w:val="0"/>
                <w:color w:val="auto"/>
                <w:sz w:val="21"/>
                <w:szCs w:val="21"/>
                <w:highlight w:val="none"/>
              </w:rPr>
              <w:t>16</w:t>
            </w:r>
          </w:p>
        </w:tc>
        <w:tc>
          <w:tcPr>
            <w:tcW w:w="1276" w:type="dxa"/>
            <w:vAlign w:val="center"/>
          </w:tcPr>
          <w:p w14:paraId="234F9B97">
            <w:pPr>
              <w:pStyle w:val="143"/>
              <w:bidi w:val="0"/>
              <w:rPr>
                <w:i w:val="0"/>
                <w:iCs w:val="0"/>
                <w:color w:val="auto"/>
                <w:sz w:val="21"/>
                <w:szCs w:val="21"/>
                <w:highlight w:val="none"/>
              </w:rPr>
            </w:pPr>
            <w:r>
              <w:rPr>
                <w:i w:val="0"/>
                <w:iCs w:val="0"/>
                <w:color w:val="auto"/>
                <w:sz w:val="21"/>
                <w:szCs w:val="21"/>
                <w:highlight w:val="none"/>
              </w:rPr>
              <w:t>开箱检查</w:t>
            </w:r>
          </w:p>
        </w:tc>
        <w:tc>
          <w:tcPr>
            <w:tcW w:w="6690" w:type="dxa"/>
            <w:vAlign w:val="center"/>
          </w:tcPr>
          <w:p w14:paraId="234F9B98">
            <w:pPr>
              <w:pStyle w:val="143"/>
              <w:bidi w:val="0"/>
              <w:jc w:val="left"/>
              <w:rPr>
                <w:i w:val="0"/>
                <w:iCs w:val="0"/>
                <w:color w:val="auto"/>
                <w:sz w:val="21"/>
                <w:szCs w:val="21"/>
                <w:highlight w:val="none"/>
              </w:rPr>
            </w:pPr>
            <w:r>
              <w:rPr>
                <w:i w:val="0"/>
                <w:iCs w:val="0"/>
                <w:color w:val="auto"/>
                <w:sz w:val="21"/>
                <w:szCs w:val="21"/>
                <w:highlight w:val="none"/>
              </w:rPr>
              <w:t>制定设备开箱计划，组织开箱并负责处理开箱中出现的问题。</w:t>
            </w:r>
          </w:p>
        </w:tc>
      </w:tr>
      <w:tr w14:paraId="234F9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9A">
            <w:pPr>
              <w:pStyle w:val="143"/>
              <w:bidi w:val="0"/>
              <w:rPr>
                <w:i w:val="0"/>
                <w:iCs w:val="0"/>
                <w:color w:val="auto"/>
                <w:sz w:val="21"/>
                <w:szCs w:val="21"/>
                <w:highlight w:val="none"/>
              </w:rPr>
            </w:pPr>
            <w:r>
              <w:rPr>
                <w:i w:val="0"/>
                <w:iCs w:val="0"/>
                <w:color w:val="auto"/>
                <w:sz w:val="21"/>
                <w:szCs w:val="21"/>
                <w:highlight w:val="none"/>
              </w:rPr>
              <w:t>17</w:t>
            </w:r>
          </w:p>
        </w:tc>
        <w:tc>
          <w:tcPr>
            <w:tcW w:w="1276" w:type="dxa"/>
            <w:vAlign w:val="center"/>
          </w:tcPr>
          <w:p w14:paraId="234F9B9B">
            <w:pPr>
              <w:pStyle w:val="143"/>
              <w:bidi w:val="0"/>
              <w:rPr>
                <w:i w:val="0"/>
                <w:iCs w:val="0"/>
                <w:color w:val="auto"/>
                <w:sz w:val="21"/>
                <w:szCs w:val="21"/>
                <w:highlight w:val="none"/>
              </w:rPr>
            </w:pPr>
            <w:r>
              <w:rPr>
                <w:i w:val="0"/>
                <w:iCs w:val="0"/>
                <w:color w:val="auto"/>
                <w:sz w:val="21"/>
                <w:szCs w:val="21"/>
                <w:highlight w:val="none"/>
              </w:rPr>
              <w:t>验收</w:t>
            </w:r>
          </w:p>
        </w:tc>
        <w:tc>
          <w:tcPr>
            <w:tcW w:w="6690" w:type="dxa"/>
            <w:vAlign w:val="center"/>
          </w:tcPr>
          <w:p w14:paraId="234F9B9C">
            <w:pPr>
              <w:pStyle w:val="143"/>
              <w:bidi w:val="0"/>
              <w:jc w:val="left"/>
              <w:rPr>
                <w:i w:val="0"/>
                <w:iCs w:val="0"/>
                <w:color w:val="auto"/>
                <w:sz w:val="21"/>
                <w:szCs w:val="21"/>
                <w:highlight w:val="none"/>
              </w:rPr>
            </w:pPr>
            <w:r>
              <w:rPr>
                <w:i w:val="0"/>
                <w:iCs w:val="0"/>
                <w:color w:val="auto"/>
                <w:sz w:val="21"/>
                <w:szCs w:val="21"/>
                <w:highlight w:val="none"/>
              </w:rPr>
              <w:t>制定</w:t>
            </w:r>
            <w:r>
              <w:rPr>
                <w:rFonts w:hint="eastAsia"/>
                <w:i w:val="0"/>
                <w:iCs w:val="0"/>
                <w:color w:val="auto"/>
                <w:sz w:val="21"/>
                <w:szCs w:val="21"/>
                <w:highlight w:val="none"/>
              </w:rPr>
              <w:t>验收</w:t>
            </w:r>
            <w:r>
              <w:rPr>
                <w:i w:val="0"/>
                <w:iCs w:val="0"/>
                <w:color w:val="auto"/>
                <w:sz w:val="21"/>
                <w:szCs w:val="21"/>
                <w:highlight w:val="none"/>
              </w:rPr>
              <w:t>计划，组织</w:t>
            </w:r>
            <w:r>
              <w:rPr>
                <w:rFonts w:hint="eastAsia"/>
                <w:i w:val="0"/>
                <w:iCs w:val="0"/>
                <w:color w:val="auto"/>
                <w:sz w:val="21"/>
                <w:szCs w:val="21"/>
                <w:highlight w:val="none"/>
              </w:rPr>
              <w:t>验收</w:t>
            </w:r>
            <w:r>
              <w:rPr>
                <w:i w:val="0"/>
                <w:iCs w:val="0"/>
                <w:color w:val="auto"/>
                <w:sz w:val="21"/>
                <w:szCs w:val="21"/>
                <w:highlight w:val="none"/>
              </w:rPr>
              <w:t>现场检查，组织专业人员安装，制定验收规范书，保证工程质量。</w:t>
            </w:r>
          </w:p>
        </w:tc>
      </w:tr>
      <w:tr w14:paraId="234F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9E">
            <w:pPr>
              <w:pStyle w:val="143"/>
              <w:bidi w:val="0"/>
              <w:rPr>
                <w:i w:val="0"/>
                <w:iCs w:val="0"/>
                <w:color w:val="auto"/>
                <w:sz w:val="21"/>
                <w:szCs w:val="21"/>
                <w:highlight w:val="none"/>
              </w:rPr>
            </w:pPr>
            <w:r>
              <w:rPr>
                <w:i w:val="0"/>
                <w:iCs w:val="0"/>
                <w:color w:val="auto"/>
                <w:sz w:val="21"/>
                <w:szCs w:val="21"/>
                <w:highlight w:val="none"/>
              </w:rPr>
              <w:t>18</w:t>
            </w:r>
          </w:p>
        </w:tc>
        <w:tc>
          <w:tcPr>
            <w:tcW w:w="1276" w:type="dxa"/>
            <w:vAlign w:val="center"/>
          </w:tcPr>
          <w:p w14:paraId="234F9B9F">
            <w:pPr>
              <w:pStyle w:val="143"/>
              <w:bidi w:val="0"/>
              <w:rPr>
                <w:i w:val="0"/>
                <w:iCs w:val="0"/>
                <w:color w:val="auto"/>
                <w:sz w:val="21"/>
                <w:szCs w:val="21"/>
                <w:highlight w:val="none"/>
              </w:rPr>
            </w:pPr>
            <w:r>
              <w:rPr>
                <w:i w:val="0"/>
                <w:iCs w:val="0"/>
                <w:color w:val="auto"/>
                <w:sz w:val="21"/>
                <w:szCs w:val="21"/>
                <w:highlight w:val="none"/>
              </w:rPr>
              <w:t>系统测试调试</w:t>
            </w:r>
          </w:p>
        </w:tc>
        <w:tc>
          <w:tcPr>
            <w:tcW w:w="6690" w:type="dxa"/>
            <w:vAlign w:val="center"/>
          </w:tcPr>
          <w:p w14:paraId="234F9BA0">
            <w:pPr>
              <w:pStyle w:val="143"/>
              <w:bidi w:val="0"/>
              <w:jc w:val="left"/>
              <w:rPr>
                <w:i w:val="0"/>
                <w:iCs w:val="0"/>
                <w:color w:val="auto"/>
                <w:sz w:val="21"/>
                <w:szCs w:val="21"/>
                <w:highlight w:val="none"/>
              </w:rPr>
            </w:pPr>
            <w:r>
              <w:rPr>
                <w:i w:val="0"/>
                <w:iCs w:val="0"/>
                <w:color w:val="auto"/>
                <w:sz w:val="21"/>
                <w:szCs w:val="21"/>
                <w:highlight w:val="none"/>
              </w:rPr>
              <w:t>制定测试调试规范书、按批准的调试规范书对系统进行测试、调试，保证调试结果满足规范书的要求。</w:t>
            </w:r>
          </w:p>
        </w:tc>
      </w:tr>
      <w:tr w14:paraId="234F9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A2">
            <w:pPr>
              <w:pStyle w:val="143"/>
              <w:bidi w:val="0"/>
              <w:rPr>
                <w:i w:val="0"/>
                <w:iCs w:val="0"/>
                <w:color w:val="auto"/>
                <w:sz w:val="21"/>
                <w:szCs w:val="21"/>
                <w:highlight w:val="none"/>
              </w:rPr>
            </w:pPr>
            <w:r>
              <w:rPr>
                <w:i w:val="0"/>
                <w:iCs w:val="0"/>
                <w:color w:val="auto"/>
                <w:sz w:val="21"/>
                <w:szCs w:val="21"/>
                <w:highlight w:val="none"/>
              </w:rPr>
              <w:t>19</w:t>
            </w:r>
          </w:p>
        </w:tc>
        <w:tc>
          <w:tcPr>
            <w:tcW w:w="1276" w:type="dxa"/>
            <w:vAlign w:val="center"/>
          </w:tcPr>
          <w:p w14:paraId="234F9BA3">
            <w:pPr>
              <w:pStyle w:val="143"/>
              <w:bidi w:val="0"/>
              <w:rPr>
                <w:i w:val="0"/>
                <w:iCs w:val="0"/>
                <w:color w:val="auto"/>
                <w:sz w:val="21"/>
                <w:szCs w:val="21"/>
                <w:highlight w:val="none"/>
              </w:rPr>
            </w:pPr>
            <w:r>
              <w:rPr>
                <w:i w:val="0"/>
                <w:iCs w:val="0"/>
                <w:color w:val="auto"/>
                <w:sz w:val="21"/>
                <w:szCs w:val="21"/>
                <w:highlight w:val="none"/>
              </w:rPr>
              <w:t>综合联调</w:t>
            </w:r>
          </w:p>
        </w:tc>
        <w:tc>
          <w:tcPr>
            <w:tcW w:w="6690" w:type="dxa"/>
            <w:vAlign w:val="center"/>
          </w:tcPr>
          <w:p w14:paraId="234F9BA4">
            <w:pPr>
              <w:pStyle w:val="143"/>
              <w:bidi w:val="0"/>
              <w:jc w:val="left"/>
              <w:rPr>
                <w:i w:val="0"/>
                <w:iCs w:val="0"/>
                <w:color w:val="auto"/>
                <w:sz w:val="21"/>
                <w:szCs w:val="21"/>
                <w:highlight w:val="none"/>
              </w:rPr>
            </w:pPr>
            <w:r>
              <w:rPr>
                <w:i w:val="0"/>
                <w:iCs w:val="0"/>
                <w:color w:val="auto"/>
                <w:sz w:val="21"/>
                <w:szCs w:val="21"/>
                <w:highlight w:val="none"/>
              </w:rPr>
              <w:t>按联调方案实施本系统的相关内容，解决出现的接口问题。</w:t>
            </w:r>
          </w:p>
        </w:tc>
      </w:tr>
      <w:tr w14:paraId="234F9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A6">
            <w:pPr>
              <w:pStyle w:val="143"/>
              <w:bidi w:val="0"/>
              <w:rPr>
                <w:i w:val="0"/>
                <w:iCs w:val="0"/>
                <w:color w:val="auto"/>
                <w:sz w:val="21"/>
                <w:szCs w:val="21"/>
                <w:highlight w:val="none"/>
              </w:rPr>
            </w:pPr>
            <w:r>
              <w:rPr>
                <w:i w:val="0"/>
                <w:iCs w:val="0"/>
                <w:color w:val="auto"/>
                <w:sz w:val="21"/>
                <w:szCs w:val="21"/>
                <w:highlight w:val="none"/>
              </w:rPr>
              <w:t>20</w:t>
            </w:r>
          </w:p>
        </w:tc>
        <w:tc>
          <w:tcPr>
            <w:tcW w:w="1276" w:type="dxa"/>
            <w:vAlign w:val="center"/>
          </w:tcPr>
          <w:p w14:paraId="234F9BA7">
            <w:pPr>
              <w:pStyle w:val="143"/>
              <w:bidi w:val="0"/>
              <w:rPr>
                <w:i w:val="0"/>
                <w:iCs w:val="0"/>
                <w:color w:val="auto"/>
                <w:sz w:val="21"/>
                <w:szCs w:val="21"/>
                <w:highlight w:val="none"/>
              </w:rPr>
            </w:pPr>
            <w:r>
              <w:rPr>
                <w:i w:val="0"/>
                <w:iCs w:val="0"/>
                <w:color w:val="auto"/>
                <w:sz w:val="21"/>
                <w:szCs w:val="21"/>
                <w:highlight w:val="none"/>
              </w:rPr>
              <w:t>试运行</w:t>
            </w:r>
          </w:p>
        </w:tc>
        <w:tc>
          <w:tcPr>
            <w:tcW w:w="6690" w:type="dxa"/>
            <w:vAlign w:val="center"/>
          </w:tcPr>
          <w:p w14:paraId="234F9BA8">
            <w:pPr>
              <w:pStyle w:val="143"/>
              <w:bidi w:val="0"/>
              <w:jc w:val="left"/>
              <w:rPr>
                <w:i w:val="0"/>
                <w:iCs w:val="0"/>
                <w:color w:val="auto"/>
                <w:sz w:val="21"/>
                <w:szCs w:val="21"/>
                <w:highlight w:val="none"/>
              </w:rPr>
            </w:pPr>
            <w:r>
              <w:rPr>
                <w:i w:val="0"/>
                <w:iCs w:val="0"/>
                <w:color w:val="auto"/>
                <w:sz w:val="21"/>
                <w:szCs w:val="21"/>
                <w:highlight w:val="none"/>
              </w:rPr>
              <w:t>配合试运行，负责处理设备运行中的有关问题。</w:t>
            </w:r>
          </w:p>
        </w:tc>
      </w:tr>
      <w:tr w14:paraId="234F9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AA">
            <w:pPr>
              <w:pStyle w:val="143"/>
              <w:bidi w:val="0"/>
              <w:rPr>
                <w:i w:val="0"/>
                <w:iCs w:val="0"/>
                <w:color w:val="auto"/>
                <w:sz w:val="21"/>
                <w:szCs w:val="21"/>
                <w:highlight w:val="none"/>
              </w:rPr>
            </w:pPr>
            <w:r>
              <w:rPr>
                <w:i w:val="0"/>
                <w:iCs w:val="0"/>
                <w:color w:val="auto"/>
                <w:sz w:val="21"/>
                <w:szCs w:val="21"/>
                <w:highlight w:val="none"/>
              </w:rPr>
              <w:t>21</w:t>
            </w:r>
          </w:p>
        </w:tc>
        <w:tc>
          <w:tcPr>
            <w:tcW w:w="1276" w:type="dxa"/>
            <w:vAlign w:val="center"/>
          </w:tcPr>
          <w:p w14:paraId="234F9BAB">
            <w:pPr>
              <w:pStyle w:val="143"/>
              <w:bidi w:val="0"/>
              <w:rPr>
                <w:i w:val="0"/>
                <w:iCs w:val="0"/>
                <w:color w:val="auto"/>
                <w:sz w:val="21"/>
                <w:szCs w:val="21"/>
                <w:highlight w:val="none"/>
              </w:rPr>
            </w:pPr>
            <w:r>
              <w:rPr>
                <w:i w:val="0"/>
                <w:iCs w:val="0"/>
                <w:color w:val="auto"/>
                <w:sz w:val="21"/>
                <w:szCs w:val="21"/>
                <w:highlight w:val="none"/>
              </w:rPr>
              <w:t>验收</w:t>
            </w:r>
          </w:p>
        </w:tc>
        <w:tc>
          <w:tcPr>
            <w:tcW w:w="6690" w:type="dxa"/>
            <w:vAlign w:val="center"/>
          </w:tcPr>
          <w:p w14:paraId="234F9BAC">
            <w:pPr>
              <w:pStyle w:val="143"/>
              <w:bidi w:val="0"/>
              <w:jc w:val="left"/>
              <w:rPr>
                <w:i w:val="0"/>
                <w:iCs w:val="0"/>
                <w:color w:val="auto"/>
                <w:sz w:val="21"/>
                <w:szCs w:val="21"/>
                <w:highlight w:val="none"/>
              </w:rPr>
            </w:pPr>
            <w:r>
              <w:rPr>
                <w:i w:val="0"/>
                <w:iCs w:val="0"/>
                <w:color w:val="auto"/>
                <w:sz w:val="21"/>
                <w:szCs w:val="21"/>
                <w:highlight w:val="none"/>
              </w:rPr>
              <w:t>制定验收建议计划，配合各项验收，负责整改验收中出现的问题。</w:t>
            </w:r>
          </w:p>
        </w:tc>
      </w:tr>
      <w:tr w14:paraId="234F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AE">
            <w:pPr>
              <w:pStyle w:val="143"/>
              <w:bidi w:val="0"/>
              <w:rPr>
                <w:i w:val="0"/>
                <w:iCs w:val="0"/>
                <w:color w:val="auto"/>
                <w:sz w:val="21"/>
                <w:szCs w:val="21"/>
                <w:highlight w:val="none"/>
              </w:rPr>
            </w:pPr>
            <w:r>
              <w:rPr>
                <w:i w:val="0"/>
                <w:iCs w:val="0"/>
                <w:color w:val="auto"/>
                <w:sz w:val="21"/>
                <w:szCs w:val="21"/>
                <w:highlight w:val="none"/>
              </w:rPr>
              <w:t>22</w:t>
            </w:r>
          </w:p>
        </w:tc>
        <w:tc>
          <w:tcPr>
            <w:tcW w:w="1276" w:type="dxa"/>
            <w:vAlign w:val="center"/>
          </w:tcPr>
          <w:p w14:paraId="234F9BAF">
            <w:pPr>
              <w:pStyle w:val="143"/>
              <w:bidi w:val="0"/>
              <w:rPr>
                <w:i w:val="0"/>
                <w:iCs w:val="0"/>
                <w:color w:val="auto"/>
                <w:sz w:val="21"/>
                <w:szCs w:val="21"/>
                <w:highlight w:val="none"/>
              </w:rPr>
            </w:pPr>
            <w:r>
              <w:rPr>
                <w:i w:val="0"/>
                <w:iCs w:val="0"/>
                <w:color w:val="auto"/>
                <w:sz w:val="21"/>
                <w:szCs w:val="21"/>
                <w:highlight w:val="none"/>
              </w:rPr>
              <w:t>培训</w:t>
            </w:r>
          </w:p>
        </w:tc>
        <w:tc>
          <w:tcPr>
            <w:tcW w:w="6690" w:type="dxa"/>
            <w:vAlign w:val="center"/>
          </w:tcPr>
          <w:p w14:paraId="234F9BB0">
            <w:pPr>
              <w:pStyle w:val="143"/>
              <w:bidi w:val="0"/>
              <w:jc w:val="left"/>
              <w:rPr>
                <w:i w:val="0"/>
                <w:iCs w:val="0"/>
                <w:color w:val="auto"/>
                <w:sz w:val="21"/>
                <w:szCs w:val="21"/>
                <w:highlight w:val="none"/>
              </w:rPr>
            </w:pPr>
            <w:r>
              <w:rPr>
                <w:i w:val="0"/>
                <w:iCs w:val="0"/>
                <w:color w:val="auto"/>
                <w:sz w:val="21"/>
                <w:szCs w:val="21"/>
                <w:highlight w:val="none"/>
              </w:rPr>
              <w:t>制定培训计划，提供培训设施、资料，组织、实施培训。</w:t>
            </w:r>
          </w:p>
        </w:tc>
      </w:tr>
      <w:tr w14:paraId="234F9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vAlign w:val="center"/>
          </w:tcPr>
          <w:p w14:paraId="234F9BB2">
            <w:pPr>
              <w:pStyle w:val="143"/>
              <w:bidi w:val="0"/>
              <w:rPr>
                <w:i w:val="0"/>
                <w:iCs w:val="0"/>
                <w:color w:val="auto"/>
                <w:sz w:val="21"/>
                <w:szCs w:val="21"/>
                <w:highlight w:val="none"/>
              </w:rPr>
            </w:pPr>
            <w:r>
              <w:rPr>
                <w:rFonts w:hint="eastAsia"/>
                <w:i w:val="0"/>
                <w:iCs w:val="0"/>
                <w:color w:val="auto"/>
                <w:sz w:val="21"/>
                <w:szCs w:val="21"/>
                <w:highlight w:val="none"/>
              </w:rPr>
              <w:t>2</w:t>
            </w:r>
            <w:r>
              <w:rPr>
                <w:i w:val="0"/>
                <w:iCs w:val="0"/>
                <w:color w:val="auto"/>
                <w:sz w:val="21"/>
                <w:szCs w:val="21"/>
                <w:highlight w:val="none"/>
              </w:rPr>
              <w:t>3</w:t>
            </w:r>
          </w:p>
        </w:tc>
        <w:tc>
          <w:tcPr>
            <w:tcW w:w="1276" w:type="dxa"/>
            <w:vAlign w:val="center"/>
          </w:tcPr>
          <w:p w14:paraId="234F9BB3">
            <w:pPr>
              <w:pStyle w:val="143"/>
              <w:bidi w:val="0"/>
              <w:rPr>
                <w:i w:val="0"/>
                <w:iCs w:val="0"/>
                <w:color w:val="auto"/>
                <w:sz w:val="21"/>
                <w:szCs w:val="21"/>
                <w:highlight w:val="none"/>
              </w:rPr>
            </w:pPr>
            <w:r>
              <w:rPr>
                <w:i w:val="0"/>
                <w:iCs w:val="0"/>
                <w:color w:val="auto"/>
                <w:sz w:val="21"/>
                <w:szCs w:val="21"/>
                <w:highlight w:val="none"/>
              </w:rPr>
              <w:t>质保期</w:t>
            </w:r>
          </w:p>
        </w:tc>
        <w:tc>
          <w:tcPr>
            <w:tcW w:w="6690" w:type="dxa"/>
            <w:vAlign w:val="center"/>
          </w:tcPr>
          <w:p w14:paraId="234F9BB4">
            <w:pPr>
              <w:pStyle w:val="143"/>
              <w:bidi w:val="0"/>
              <w:jc w:val="left"/>
              <w:rPr>
                <w:i w:val="0"/>
                <w:iCs w:val="0"/>
                <w:color w:val="auto"/>
                <w:sz w:val="21"/>
                <w:szCs w:val="21"/>
                <w:highlight w:val="none"/>
              </w:rPr>
            </w:pPr>
            <w:r>
              <w:rPr>
                <w:i w:val="0"/>
                <w:iCs w:val="0"/>
                <w:color w:val="auto"/>
                <w:sz w:val="21"/>
                <w:szCs w:val="21"/>
                <w:highlight w:val="none"/>
              </w:rPr>
              <w:t>应负责处理质保期内的任何设备、安装质量等问题。</w:t>
            </w:r>
          </w:p>
        </w:tc>
      </w:tr>
    </w:tbl>
    <w:p w14:paraId="234F9BB6">
      <w:pPr>
        <w:pStyle w:val="4"/>
        <w:rPr>
          <w:i w:val="0"/>
          <w:iCs w:val="0"/>
          <w:color w:val="auto"/>
          <w:sz w:val="24"/>
          <w:szCs w:val="21"/>
          <w:highlight w:val="none"/>
        </w:rPr>
      </w:pPr>
      <w:bookmarkStart w:id="284" w:name="_Toc216637921"/>
      <w:bookmarkStart w:id="285" w:name="_Toc17053"/>
      <w:bookmarkStart w:id="286" w:name="_Toc85528763"/>
      <w:bookmarkStart w:id="287" w:name="_Toc93674782"/>
      <w:r>
        <w:rPr>
          <w:rFonts w:hint="eastAsia"/>
          <w:i w:val="0"/>
          <w:iCs w:val="0"/>
          <w:color w:val="auto"/>
          <w:sz w:val="24"/>
          <w:szCs w:val="21"/>
          <w:highlight w:val="none"/>
        </w:rPr>
        <w:t>工程管理责任</w:t>
      </w:r>
      <w:bookmarkEnd w:id="284"/>
      <w:bookmarkEnd w:id="285"/>
      <w:bookmarkEnd w:id="286"/>
      <w:bookmarkEnd w:id="287"/>
    </w:p>
    <w:p w14:paraId="234F9BB7">
      <w:pPr>
        <w:pStyle w:val="6"/>
        <w:ind w:left="0"/>
        <w:rPr>
          <w:i w:val="0"/>
          <w:iCs w:val="0"/>
          <w:color w:val="auto"/>
          <w:sz w:val="22"/>
          <w:szCs w:val="22"/>
          <w:highlight w:val="none"/>
        </w:rPr>
      </w:pPr>
      <w:bookmarkStart w:id="288" w:name="_Toc93674783"/>
      <w:bookmarkStart w:id="289" w:name="_Toc27028"/>
      <w:r>
        <w:rPr>
          <w:rFonts w:hint="eastAsia"/>
          <w:i w:val="0"/>
          <w:iCs w:val="0"/>
          <w:color w:val="auto"/>
          <w:sz w:val="22"/>
          <w:szCs w:val="22"/>
          <w:highlight w:val="none"/>
        </w:rPr>
        <w:t>招标人的责任</w:t>
      </w:r>
      <w:bookmarkEnd w:id="288"/>
      <w:bookmarkEnd w:id="289"/>
    </w:p>
    <w:p w14:paraId="234F9BB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确认投标人集成（采购）本系统设备的方案、系统调试方案、质量保证期及售后服务、技术规格建议书。</w:t>
      </w:r>
    </w:p>
    <w:p w14:paraId="234F9BB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确认投标人提供的设备功能设计说明书、各类试验参数是否满足系统设计要求，并提出修改意见。</w:t>
      </w:r>
    </w:p>
    <w:p w14:paraId="234F9BB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招标人有权到工厂参加各项试验项目。</w:t>
      </w:r>
    </w:p>
    <w:p w14:paraId="234F9BB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招标人有权对投标人生产所使用的图纸和工艺文件等进行审查或抽查。</w:t>
      </w:r>
    </w:p>
    <w:p w14:paraId="234F9BB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招标人保留在招标的任何阶段对技术规格的内容进行修改的权利。</w:t>
      </w:r>
    </w:p>
    <w:p w14:paraId="234F9BB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招标人在工程实施过程各阶段所进行的各项检查、验收等活动不能认为是对工程的部分或全部接受，不能免除投标人应承担的责任。</w:t>
      </w:r>
    </w:p>
    <w:p w14:paraId="234F9BBE">
      <w:pPr>
        <w:pStyle w:val="6"/>
        <w:ind w:left="0"/>
        <w:rPr>
          <w:i w:val="0"/>
          <w:iCs w:val="0"/>
          <w:color w:val="auto"/>
          <w:sz w:val="22"/>
          <w:szCs w:val="22"/>
          <w:highlight w:val="none"/>
        </w:rPr>
      </w:pPr>
      <w:bookmarkStart w:id="290" w:name="_Toc17435"/>
      <w:bookmarkStart w:id="291" w:name="_Toc93674784"/>
      <w:r>
        <w:rPr>
          <w:rFonts w:hint="eastAsia"/>
          <w:i w:val="0"/>
          <w:iCs w:val="0"/>
          <w:color w:val="auto"/>
          <w:sz w:val="22"/>
          <w:szCs w:val="22"/>
          <w:highlight w:val="none"/>
        </w:rPr>
        <w:t>投标人的责任</w:t>
      </w:r>
      <w:bookmarkEnd w:id="290"/>
      <w:bookmarkEnd w:id="291"/>
    </w:p>
    <w:p w14:paraId="234F9BBF">
      <w:pPr>
        <w:pStyle w:val="7"/>
        <w:ind w:left="0"/>
        <w:rPr>
          <w:i w:val="0"/>
          <w:iCs w:val="0"/>
          <w:color w:val="auto"/>
          <w:sz w:val="21"/>
          <w:szCs w:val="21"/>
          <w:highlight w:val="none"/>
        </w:rPr>
      </w:pPr>
      <w:r>
        <w:rPr>
          <w:rFonts w:hint="eastAsia"/>
          <w:i w:val="0"/>
          <w:iCs w:val="0"/>
          <w:color w:val="auto"/>
          <w:sz w:val="21"/>
          <w:szCs w:val="21"/>
          <w:highlight w:val="none"/>
        </w:rPr>
        <w:t>投标人的责任范围</w:t>
      </w:r>
    </w:p>
    <w:p w14:paraId="234F9BC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完成的工作包括本系统所有设备、测试仪器和专用工（器）具的制造/采购；工厂测试、包装、运输/保险；以及在现场的仓储、完工测试、系统调试、大联调、试运行和质量保证；以及必要的文件和培训等。</w:t>
      </w:r>
    </w:p>
    <w:p w14:paraId="234F9BC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系统接口应包括本系统内部及与其他系统的接口，为完成合同要求及限定的工程，投标人应提供系统的数据、设计、零部件、材料、工具以及其它必要设施。</w:t>
      </w:r>
    </w:p>
    <w:p w14:paraId="234F9BC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投标人应对系统的功能和安全负责。</w:t>
      </w:r>
    </w:p>
    <w:p w14:paraId="234F9BC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投标人应与其它相关系统专业协调合作，以保证接口功能的实现。</w:t>
      </w:r>
    </w:p>
    <w:p w14:paraId="234F9BC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投标人应根据本工程特点提供国产、进口设备/部件清单，并协助招标人完成工程台帐、固定资产统计、竣工资料等各种评审工作。</w:t>
      </w:r>
    </w:p>
    <w:p w14:paraId="234F9BC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投标人需提供施工指导书或其它文件以进行施工指导。</w:t>
      </w:r>
    </w:p>
    <w:p w14:paraId="234F9BC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投标人必须承诺针对本项目成立专职的项目组织机构、配置办公用房，项目组织机构至少包括以下部门：</w:t>
      </w:r>
    </w:p>
    <w:p w14:paraId="234F9BC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（1）系统集成项目部、设备安装及施工督导项目部；</w:t>
      </w:r>
    </w:p>
    <w:p w14:paraId="234F9BC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（2）项目经理办公室、工程总工程师、设备、安全质量、计划合同、财务、档案、培训等相关职能部门；</w:t>
      </w:r>
    </w:p>
    <w:p w14:paraId="234F9BC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3）系统项目部：智慧地铁线路云平台扩容系统部、防洪防汛应急处置系统部，车站智能视频分析系统部，FAS与门禁系统智能联动部、列车司机行为实时监测部，智慧人脸门禁系统部，智能钥匙柜系统部，智能运维系统部，维修作业系统系统部，智慧公寓管理系统系统部，各系统部人员不得兼任。</w:t>
      </w:r>
    </w:p>
    <w:p w14:paraId="234F9BCA">
      <w:pPr>
        <w:pStyle w:val="142"/>
        <w:ind w:firstLine="420"/>
        <w:rPr>
          <w:i w:val="0"/>
          <w:iCs w:val="0"/>
          <w:color w:val="auto"/>
          <w:sz w:val="21"/>
          <w:szCs w:val="15"/>
          <w:highlight w:val="none"/>
          <w:lang w:val="en-US"/>
        </w:rPr>
      </w:pPr>
      <w:r>
        <w:rPr>
          <w:rFonts w:hint="eastAsia"/>
          <w:i w:val="0"/>
          <w:iCs w:val="0"/>
          <w:color w:val="auto"/>
          <w:sz w:val="21"/>
          <w:szCs w:val="15"/>
          <w:highlight w:val="none"/>
          <w:lang w:val="en-US"/>
        </w:rPr>
        <w:t>（4）项目部要求</w:t>
      </w:r>
    </w:p>
    <w:p w14:paraId="234F9BC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投标人在合同签订后接到招标人的书面进场通知后15天之内在长沙成立项目部，项目部必须按投标文件的人员安排要求配备全部到位，并具备现场办公人员、办公设备（含电话、传真等）及交通工具等。</w:t>
      </w:r>
    </w:p>
    <w:p w14:paraId="234F9BCE">
      <w:pPr>
        <w:pStyle w:val="142"/>
        <w:ind w:firstLine="420"/>
        <w:rPr>
          <w:i w:val="0"/>
          <w:iCs w:val="0"/>
          <w:color w:val="auto"/>
          <w:sz w:val="21"/>
          <w:szCs w:val="15"/>
          <w:highlight w:val="none"/>
          <w:lang w:val="en-US"/>
        </w:rPr>
      </w:pPr>
      <w:r>
        <w:rPr>
          <w:rFonts w:hint="eastAsia"/>
          <w:i w:val="0"/>
          <w:iCs w:val="0"/>
          <w:color w:val="auto"/>
          <w:sz w:val="21"/>
          <w:szCs w:val="15"/>
          <w:highlight w:val="none"/>
          <w:lang w:val="en-US"/>
        </w:rPr>
        <w:t>（5）售后服务部。</w:t>
      </w:r>
    </w:p>
    <w:p w14:paraId="234F9BC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投标人在投标书中应结合本项目特点和要求，提出本项目的项目组织机构和各部门的职责，及各部门的人员配备。且应以合适的表达方式清楚展示其管理机构各部门（包括分包商）与招标人、设计间的责任关系。</w:t>
      </w:r>
    </w:p>
    <w:p w14:paraId="234F9BD0">
      <w:pPr>
        <w:pStyle w:val="7"/>
        <w:ind w:left="0"/>
        <w:rPr>
          <w:i w:val="0"/>
          <w:iCs w:val="0"/>
          <w:color w:val="auto"/>
          <w:sz w:val="21"/>
          <w:szCs w:val="21"/>
          <w:highlight w:val="none"/>
        </w:rPr>
      </w:pPr>
      <w:r>
        <w:rPr>
          <w:rFonts w:hint="eastAsia"/>
          <w:i w:val="0"/>
          <w:iCs w:val="0"/>
          <w:color w:val="auto"/>
          <w:sz w:val="21"/>
          <w:szCs w:val="21"/>
          <w:highlight w:val="none"/>
        </w:rPr>
        <w:t>人员要求</w:t>
      </w:r>
    </w:p>
    <w:p w14:paraId="234F9BD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投标人应在长沙设置为本工程服务的机构，并由具有丰富项目经验的人员担任项目负责人，若该人员变动，应提前经招标人同意。同时，投标人应提供具有丰富工程经验的人员参加系统服务。</w:t>
      </w:r>
    </w:p>
    <w:p w14:paraId="234F9BD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投标人应提供项目管理、质量管理。</w:t>
      </w:r>
    </w:p>
    <w:p w14:paraId="234F9BD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投标人负责提供规模合适且具有一定素质和经验的安装队伍，并使之在招标人督导下工作。</w:t>
      </w:r>
    </w:p>
    <w:p w14:paraId="234F9BD4">
      <w:pPr>
        <w:pStyle w:val="7"/>
        <w:ind w:left="0"/>
        <w:rPr>
          <w:i w:val="0"/>
          <w:iCs w:val="0"/>
          <w:color w:val="auto"/>
          <w:sz w:val="21"/>
          <w:szCs w:val="21"/>
          <w:highlight w:val="none"/>
        </w:rPr>
      </w:pPr>
      <w:r>
        <w:rPr>
          <w:rFonts w:hint="eastAsia"/>
          <w:i w:val="0"/>
          <w:iCs w:val="0"/>
          <w:color w:val="auto"/>
          <w:sz w:val="21"/>
          <w:szCs w:val="21"/>
          <w:highlight w:val="none"/>
        </w:rPr>
        <w:t>严格按照合同实施</w:t>
      </w:r>
    </w:p>
    <w:p w14:paraId="234F9BD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按照合同规定精心设计（在要求范围内）、实施、完成工程和修补缺陷。投标人应提供为上述设计、实施、完成和修补缺陷所需的临时性和永久性的监督管理人员、劳动力、材料、工程设备、投标人所用设备以及全部其它物品。</w:t>
      </w:r>
    </w:p>
    <w:p w14:paraId="234F9BD6">
      <w:pPr>
        <w:pStyle w:val="7"/>
        <w:ind w:left="0"/>
        <w:rPr>
          <w:i w:val="0"/>
          <w:iCs w:val="0"/>
          <w:color w:val="auto"/>
          <w:sz w:val="21"/>
          <w:szCs w:val="21"/>
          <w:highlight w:val="none"/>
        </w:rPr>
      </w:pPr>
      <w:r>
        <w:rPr>
          <w:rFonts w:hint="eastAsia"/>
          <w:i w:val="0"/>
          <w:iCs w:val="0"/>
          <w:color w:val="auto"/>
          <w:sz w:val="21"/>
          <w:szCs w:val="21"/>
          <w:highlight w:val="none"/>
        </w:rPr>
        <w:t>遵守法令和规章</w:t>
      </w:r>
    </w:p>
    <w:p w14:paraId="234F9BD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投标人应在所有方面，包括递交通知和交纳一切费用方面，遵守与该工程设计、制造／采购、施工、竣工和修补缺陷有关的法令、条例和规定。</w:t>
      </w:r>
    </w:p>
    <w:p w14:paraId="234F9BD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投标人应保证招标人免于承担由于违反上述规章的任何罚款和责任。但招标人应负责取得工程所必须的计划、地域或其它必要的批准。</w:t>
      </w:r>
    </w:p>
    <w:p w14:paraId="234F9BD9">
      <w:pPr>
        <w:pStyle w:val="7"/>
        <w:ind w:left="0"/>
        <w:rPr>
          <w:i w:val="0"/>
          <w:iCs w:val="0"/>
          <w:color w:val="auto"/>
          <w:sz w:val="21"/>
          <w:szCs w:val="21"/>
          <w:highlight w:val="none"/>
        </w:rPr>
      </w:pPr>
      <w:r>
        <w:rPr>
          <w:rFonts w:hint="eastAsia"/>
          <w:i w:val="0"/>
          <w:iCs w:val="0"/>
          <w:color w:val="auto"/>
          <w:sz w:val="21"/>
          <w:szCs w:val="21"/>
          <w:highlight w:val="none"/>
        </w:rPr>
        <w:t>专利权</w:t>
      </w:r>
    </w:p>
    <w:p w14:paraId="234F9BD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保障招标人免于受到由于工程上使用的或有关采用的设备、材料或工程设备等侵犯专利权、设计商标或名称或其它受保护的权利而引起的索赔和诉讼，并保证招标人免于承担与此有关的赔偿费、诉讼费和其它开支。</w:t>
      </w:r>
    </w:p>
    <w:p w14:paraId="234F9BDB">
      <w:pPr>
        <w:pStyle w:val="7"/>
        <w:ind w:left="0"/>
        <w:rPr>
          <w:i w:val="0"/>
          <w:iCs w:val="0"/>
          <w:color w:val="auto"/>
          <w:sz w:val="21"/>
          <w:szCs w:val="21"/>
          <w:highlight w:val="none"/>
        </w:rPr>
      </w:pPr>
      <w:r>
        <w:rPr>
          <w:rFonts w:hint="eastAsia"/>
          <w:i w:val="0"/>
          <w:iCs w:val="0"/>
          <w:color w:val="auto"/>
          <w:sz w:val="21"/>
          <w:szCs w:val="21"/>
          <w:highlight w:val="none"/>
        </w:rPr>
        <w:t>转让和分包</w:t>
      </w:r>
    </w:p>
    <w:p w14:paraId="234F9BD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本项目禁止转包、禁止分包，否则一切责任由投标方承担。</w:t>
      </w:r>
    </w:p>
    <w:p w14:paraId="634492C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除合同明确约定采购第三人设备或服务外，未经招标方书面同意，投标方不得转让合同中规定的任何义务。</w:t>
      </w:r>
    </w:p>
    <w:p w14:paraId="234F9BDE">
      <w:pPr>
        <w:pStyle w:val="7"/>
        <w:ind w:left="0"/>
        <w:rPr>
          <w:i w:val="0"/>
          <w:iCs w:val="0"/>
          <w:color w:val="auto"/>
          <w:sz w:val="21"/>
          <w:szCs w:val="21"/>
          <w:highlight w:val="none"/>
        </w:rPr>
      </w:pPr>
      <w:r>
        <w:rPr>
          <w:rFonts w:hint="eastAsia"/>
          <w:i w:val="0"/>
          <w:iCs w:val="0"/>
          <w:color w:val="auto"/>
          <w:sz w:val="21"/>
          <w:szCs w:val="21"/>
          <w:highlight w:val="none"/>
        </w:rPr>
        <w:t>制造及出厂验收</w:t>
      </w:r>
    </w:p>
    <w:p w14:paraId="234F9BD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根据招标人审查的详细设计和功能规格书中的标准，制造、采购供货范围内设备。</w:t>
      </w:r>
    </w:p>
    <w:p w14:paraId="234F9BE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执行生产验收试验，保证所有系统设备每台都是全新的和质量优良的，并有合格证。</w:t>
      </w:r>
    </w:p>
    <w:p w14:paraId="234F9BE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根据招标人要求完成设备的出厂试验，检验合格并签发工厂验收合格证书后，方可发货，以保证所有设备质量。</w:t>
      </w:r>
    </w:p>
    <w:p w14:paraId="234F9BE2">
      <w:pPr>
        <w:pStyle w:val="7"/>
        <w:ind w:left="0"/>
        <w:rPr>
          <w:i w:val="0"/>
          <w:iCs w:val="0"/>
          <w:color w:val="auto"/>
          <w:sz w:val="21"/>
          <w:szCs w:val="21"/>
          <w:highlight w:val="none"/>
        </w:rPr>
      </w:pPr>
      <w:r>
        <w:rPr>
          <w:rFonts w:hint="eastAsia"/>
          <w:i w:val="0"/>
          <w:iCs w:val="0"/>
          <w:color w:val="auto"/>
          <w:sz w:val="21"/>
          <w:szCs w:val="21"/>
          <w:highlight w:val="none"/>
        </w:rPr>
        <w:t>包装、发运</w:t>
      </w:r>
    </w:p>
    <w:p w14:paraId="234F9BE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根据招标人的要求对设备进行包装并按计划准时发运每批货物至招标人指定地点。</w:t>
      </w:r>
    </w:p>
    <w:p w14:paraId="234F9BE4">
      <w:pPr>
        <w:pStyle w:val="7"/>
        <w:ind w:left="0"/>
        <w:rPr>
          <w:i w:val="0"/>
          <w:iCs w:val="0"/>
          <w:color w:val="auto"/>
          <w:sz w:val="21"/>
          <w:szCs w:val="21"/>
          <w:highlight w:val="none"/>
        </w:rPr>
      </w:pPr>
      <w:r>
        <w:rPr>
          <w:rFonts w:hint="eastAsia"/>
          <w:i w:val="0"/>
          <w:iCs w:val="0"/>
          <w:color w:val="auto"/>
          <w:sz w:val="21"/>
          <w:szCs w:val="21"/>
          <w:highlight w:val="none"/>
        </w:rPr>
        <w:t>安装及调试</w:t>
      </w:r>
    </w:p>
    <w:p w14:paraId="234F9BE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投标人有责任参加设备现场开箱检验。</w:t>
      </w:r>
    </w:p>
    <w:p w14:paraId="234F9BE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投标人有责任制定安装计划。</w:t>
      </w:r>
    </w:p>
    <w:p w14:paraId="234F9BE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投标人有责任对安装队进行安装指导，包括安装技术指导、培训、现场指挥。</w:t>
      </w:r>
    </w:p>
    <w:p w14:paraId="234F9BE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投标人根据招标人提出的本工程总体工程计划，提出系统各调试开通计划供招标人审查。</w:t>
      </w:r>
    </w:p>
    <w:p w14:paraId="234F9BE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按已审查计划，负责系统设备的单体调试、系统联调，包括联动现场设备以及与相关系统接口调试，并应分别通过系统设备单体测试验收、联调测试验收，使系统安全可靠运行，达到用户需求，通过系统竣工验收。</w:t>
      </w:r>
    </w:p>
    <w:p w14:paraId="234F9BEA">
      <w:pPr>
        <w:pStyle w:val="7"/>
        <w:ind w:left="0"/>
        <w:rPr>
          <w:i w:val="0"/>
          <w:iCs w:val="0"/>
          <w:color w:val="auto"/>
          <w:sz w:val="21"/>
          <w:szCs w:val="21"/>
          <w:highlight w:val="none"/>
        </w:rPr>
      </w:pPr>
      <w:r>
        <w:rPr>
          <w:rFonts w:hint="eastAsia"/>
          <w:i w:val="0"/>
          <w:iCs w:val="0"/>
          <w:color w:val="auto"/>
          <w:sz w:val="21"/>
          <w:szCs w:val="21"/>
          <w:highlight w:val="none"/>
        </w:rPr>
        <w:t>接口责任</w:t>
      </w:r>
    </w:p>
    <w:p w14:paraId="234F9BE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投标人应对本工程各系统与其他相关系统的接口负责，以保证实现本合同中规定的接口功能。这些接口功能包括，但不限于：</w:t>
      </w:r>
    </w:p>
    <w:p w14:paraId="234F9BE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物理和电气特性；</w:t>
      </w:r>
    </w:p>
    <w:p w14:paraId="234F9BE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软件及网络协议；</w:t>
      </w:r>
    </w:p>
    <w:p w14:paraId="234F9BE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系统从相关系统接收信息并做规定的处理；</w:t>
      </w:r>
    </w:p>
    <w:p w14:paraId="234F9BE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系统向相关系统发送规定的信息；</w:t>
      </w:r>
    </w:p>
    <w:p w14:paraId="234F9BF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投标人应与其他相关系统专业协调合作，以保证以上接口功能的实现。当接口联调出现问题而又查不出任何一方的责任时，由设计单位提出整改方案并报招标人确认，投标人应无条件服从。</w:t>
      </w:r>
    </w:p>
    <w:p w14:paraId="234F9BF1">
      <w:pPr>
        <w:pStyle w:val="7"/>
        <w:ind w:left="0"/>
        <w:rPr>
          <w:i w:val="0"/>
          <w:iCs w:val="0"/>
          <w:color w:val="auto"/>
          <w:sz w:val="21"/>
          <w:szCs w:val="21"/>
          <w:highlight w:val="none"/>
        </w:rPr>
      </w:pPr>
      <w:r>
        <w:rPr>
          <w:rFonts w:hint="eastAsia"/>
          <w:i w:val="0"/>
          <w:iCs w:val="0"/>
          <w:color w:val="auto"/>
          <w:sz w:val="21"/>
          <w:szCs w:val="21"/>
          <w:highlight w:val="none"/>
        </w:rPr>
        <w:t>文件提交</w:t>
      </w:r>
    </w:p>
    <w:p w14:paraId="234F9BF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投标人应根据技术文件的要求提交相应的文件。</w:t>
      </w:r>
    </w:p>
    <w:p w14:paraId="234F9BF3">
      <w:pPr>
        <w:pStyle w:val="7"/>
        <w:ind w:left="0"/>
        <w:rPr>
          <w:i w:val="0"/>
          <w:iCs w:val="0"/>
          <w:color w:val="auto"/>
          <w:sz w:val="21"/>
          <w:szCs w:val="21"/>
          <w:highlight w:val="none"/>
        </w:rPr>
      </w:pPr>
      <w:r>
        <w:rPr>
          <w:rFonts w:hint="eastAsia"/>
          <w:i w:val="0"/>
          <w:iCs w:val="0"/>
          <w:color w:val="auto"/>
          <w:sz w:val="21"/>
          <w:szCs w:val="21"/>
          <w:highlight w:val="none"/>
        </w:rPr>
        <w:t>培训</w:t>
      </w:r>
    </w:p>
    <w:p w14:paraId="234F9BF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投标人应根据培训要求完成对用户的培训任务。</w:t>
      </w:r>
    </w:p>
    <w:p w14:paraId="234F9BF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与招标人共同签发各阶段的测试报告及合格证书。</w:t>
      </w:r>
    </w:p>
    <w:p w14:paraId="234F9BF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随时接受招标人对投标人质保体系落实情况的检查。</w:t>
      </w:r>
    </w:p>
    <w:p w14:paraId="234F9BF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投标人允许招标人派员参加投标人在系统集成过程中的工作，并提供工作和生活的方便。</w:t>
      </w:r>
    </w:p>
    <w:p w14:paraId="234F9BF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参加与本系统有接口的相关专业在以后的各个时期的各项工作，如：接口的谈判、接口技术要求、接口的设计、接口的制造、接口的出厂验收、施工及验收等，要求投标人给予承诺，同时费用由投标人自己负责。</w:t>
      </w:r>
    </w:p>
    <w:p w14:paraId="234F9BF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对于设备的安装，投标人应针对设备类型及施工地点进行详细考察，并结合工程经验，提出所有设备的安装实施方案。</w:t>
      </w:r>
    </w:p>
    <w:p w14:paraId="234F9BFA">
      <w:pPr>
        <w:pStyle w:val="4"/>
        <w:rPr>
          <w:i w:val="0"/>
          <w:iCs w:val="0"/>
          <w:color w:val="auto"/>
          <w:sz w:val="24"/>
          <w:szCs w:val="21"/>
          <w:highlight w:val="none"/>
        </w:rPr>
      </w:pPr>
      <w:bookmarkStart w:id="292" w:name="_Toc6196"/>
      <w:bookmarkStart w:id="293" w:name="_Toc201304989"/>
      <w:r>
        <w:rPr>
          <w:rFonts w:hint="eastAsia"/>
          <w:i w:val="0"/>
          <w:iCs w:val="0"/>
          <w:color w:val="auto"/>
          <w:sz w:val="24"/>
          <w:szCs w:val="21"/>
          <w:highlight w:val="none"/>
        </w:rPr>
        <w:t>工程施工管理</w:t>
      </w:r>
      <w:bookmarkEnd w:id="292"/>
      <w:bookmarkEnd w:id="293"/>
    </w:p>
    <w:p w14:paraId="234F9BFB">
      <w:pPr>
        <w:pStyle w:val="6"/>
        <w:ind w:left="0"/>
        <w:rPr>
          <w:i w:val="0"/>
          <w:iCs w:val="0"/>
          <w:color w:val="auto"/>
          <w:sz w:val="22"/>
          <w:szCs w:val="22"/>
          <w:highlight w:val="none"/>
        </w:rPr>
      </w:pPr>
      <w:bookmarkStart w:id="294" w:name="_Toc15122"/>
      <w:r>
        <w:rPr>
          <w:rFonts w:hint="eastAsia"/>
          <w:i w:val="0"/>
          <w:iCs w:val="0"/>
          <w:color w:val="auto"/>
          <w:sz w:val="22"/>
          <w:szCs w:val="22"/>
          <w:highlight w:val="none"/>
        </w:rPr>
        <w:t>工程施工安装方案</w:t>
      </w:r>
      <w:bookmarkEnd w:id="294"/>
    </w:p>
    <w:p w14:paraId="234F9BF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投标人应按工程不同阶段制定施工安装实施方案。在投标文件中应包含以下内容，但不限于此：</w:t>
      </w:r>
    </w:p>
    <w:p w14:paraId="234F9BFD">
      <w:pPr>
        <w:pStyle w:val="142"/>
        <w:numPr>
          <w:ilvl w:val="0"/>
          <w:numId w:val="33"/>
        </w:numPr>
        <w:ind w:firstLineChars="0"/>
        <w:rPr>
          <w:i w:val="0"/>
          <w:iCs w:val="0"/>
          <w:color w:val="auto"/>
          <w:sz w:val="21"/>
          <w:szCs w:val="15"/>
          <w:highlight w:val="none"/>
          <w:lang w:val="en-US"/>
        </w:rPr>
      </w:pPr>
      <w:r>
        <w:rPr>
          <w:rFonts w:hint="eastAsia"/>
          <w:i w:val="0"/>
          <w:iCs w:val="0"/>
          <w:color w:val="auto"/>
          <w:sz w:val="21"/>
          <w:szCs w:val="15"/>
          <w:highlight w:val="none"/>
          <w:lang w:val="en-US"/>
        </w:rPr>
        <w:t>项目管理组织机构及主要人员配置表和职责表；</w:t>
      </w:r>
    </w:p>
    <w:p w14:paraId="234F9BFE">
      <w:pPr>
        <w:pStyle w:val="142"/>
        <w:numPr>
          <w:ilvl w:val="0"/>
          <w:numId w:val="33"/>
        </w:numPr>
        <w:ind w:firstLineChars="0"/>
        <w:rPr>
          <w:i w:val="0"/>
          <w:iCs w:val="0"/>
          <w:color w:val="auto"/>
          <w:sz w:val="21"/>
          <w:szCs w:val="15"/>
          <w:highlight w:val="none"/>
          <w:lang w:val="en-US"/>
        </w:rPr>
      </w:pPr>
      <w:r>
        <w:rPr>
          <w:rFonts w:hint="eastAsia"/>
          <w:i w:val="0"/>
          <w:iCs w:val="0"/>
          <w:color w:val="auto"/>
          <w:sz w:val="21"/>
          <w:szCs w:val="15"/>
          <w:highlight w:val="none"/>
          <w:lang w:val="en-US"/>
        </w:rPr>
        <w:t>施工及安装经验（类似工程经验）；</w:t>
      </w:r>
    </w:p>
    <w:p w14:paraId="234F9BFF">
      <w:pPr>
        <w:pStyle w:val="142"/>
        <w:numPr>
          <w:ilvl w:val="0"/>
          <w:numId w:val="33"/>
        </w:numPr>
        <w:ind w:firstLineChars="0"/>
        <w:rPr>
          <w:i w:val="0"/>
          <w:iCs w:val="0"/>
          <w:color w:val="auto"/>
          <w:sz w:val="21"/>
          <w:szCs w:val="15"/>
          <w:highlight w:val="none"/>
          <w:lang w:val="en-US"/>
        </w:rPr>
      </w:pPr>
      <w:r>
        <w:rPr>
          <w:rFonts w:hint="eastAsia"/>
          <w:i w:val="0"/>
          <w:iCs w:val="0"/>
          <w:color w:val="auto"/>
          <w:sz w:val="21"/>
          <w:szCs w:val="15"/>
          <w:highlight w:val="none"/>
          <w:lang w:val="en-US"/>
        </w:rPr>
        <w:t>主要施工用设备、机具及仪器仪表；</w:t>
      </w:r>
    </w:p>
    <w:p w14:paraId="234F9C00">
      <w:pPr>
        <w:pStyle w:val="142"/>
        <w:numPr>
          <w:ilvl w:val="0"/>
          <w:numId w:val="33"/>
        </w:numPr>
        <w:ind w:firstLineChars="0"/>
        <w:rPr>
          <w:i w:val="0"/>
          <w:iCs w:val="0"/>
          <w:color w:val="auto"/>
          <w:sz w:val="21"/>
          <w:szCs w:val="15"/>
          <w:highlight w:val="none"/>
          <w:lang w:val="en-US"/>
        </w:rPr>
      </w:pPr>
      <w:r>
        <w:rPr>
          <w:rFonts w:hint="eastAsia"/>
          <w:i w:val="0"/>
          <w:iCs w:val="0"/>
          <w:color w:val="auto"/>
          <w:sz w:val="21"/>
          <w:szCs w:val="15"/>
          <w:highlight w:val="none"/>
          <w:lang w:val="en-US"/>
        </w:rPr>
        <w:t>工程计划及工期安排；</w:t>
      </w:r>
    </w:p>
    <w:p w14:paraId="234F9C01">
      <w:pPr>
        <w:pStyle w:val="142"/>
        <w:numPr>
          <w:ilvl w:val="0"/>
          <w:numId w:val="33"/>
        </w:numPr>
        <w:ind w:firstLineChars="0"/>
        <w:rPr>
          <w:i w:val="0"/>
          <w:iCs w:val="0"/>
          <w:color w:val="auto"/>
          <w:sz w:val="21"/>
          <w:szCs w:val="15"/>
          <w:highlight w:val="none"/>
          <w:lang w:val="en-US"/>
        </w:rPr>
      </w:pPr>
      <w:r>
        <w:rPr>
          <w:rFonts w:hint="eastAsia"/>
          <w:i w:val="0"/>
          <w:iCs w:val="0"/>
          <w:color w:val="auto"/>
          <w:sz w:val="21"/>
          <w:szCs w:val="15"/>
          <w:highlight w:val="none"/>
          <w:lang w:val="en-US"/>
        </w:rPr>
        <w:t>工程实施方案（含施工平面布置图、用水、用电计划等）；</w:t>
      </w:r>
    </w:p>
    <w:p w14:paraId="234F9C02">
      <w:pPr>
        <w:pStyle w:val="142"/>
        <w:numPr>
          <w:ilvl w:val="0"/>
          <w:numId w:val="33"/>
        </w:numPr>
        <w:ind w:firstLineChars="0"/>
        <w:rPr>
          <w:i w:val="0"/>
          <w:iCs w:val="0"/>
          <w:color w:val="auto"/>
          <w:sz w:val="21"/>
          <w:szCs w:val="15"/>
          <w:highlight w:val="none"/>
          <w:lang w:val="en-US"/>
        </w:rPr>
      </w:pPr>
      <w:r>
        <w:rPr>
          <w:rFonts w:hint="eastAsia"/>
          <w:i w:val="0"/>
          <w:iCs w:val="0"/>
          <w:color w:val="auto"/>
          <w:sz w:val="21"/>
          <w:szCs w:val="15"/>
          <w:highlight w:val="none"/>
          <w:lang w:val="en-US"/>
        </w:rPr>
        <w:t>创优规划；</w:t>
      </w:r>
    </w:p>
    <w:p w14:paraId="234F9C03">
      <w:pPr>
        <w:pStyle w:val="142"/>
        <w:numPr>
          <w:ilvl w:val="0"/>
          <w:numId w:val="33"/>
        </w:numPr>
        <w:ind w:firstLineChars="0"/>
        <w:rPr>
          <w:i w:val="0"/>
          <w:iCs w:val="0"/>
          <w:color w:val="auto"/>
          <w:sz w:val="21"/>
          <w:szCs w:val="15"/>
          <w:highlight w:val="none"/>
          <w:lang w:val="en-US"/>
        </w:rPr>
      </w:pPr>
      <w:r>
        <w:rPr>
          <w:rFonts w:hint="eastAsia"/>
          <w:i w:val="0"/>
          <w:iCs w:val="0"/>
          <w:color w:val="auto"/>
          <w:sz w:val="21"/>
          <w:szCs w:val="15"/>
          <w:highlight w:val="none"/>
          <w:lang w:val="en-US"/>
        </w:rPr>
        <w:t>施工组织安排及施工方法和程序说明；</w:t>
      </w:r>
    </w:p>
    <w:p w14:paraId="234F9C04">
      <w:pPr>
        <w:pStyle w:val="142"/>
        <w:numPr>
          <w:ilvl w:val="0"/>
          <w:numId w:val="33"/>
        </w:numPr>
        <w:ind w:firstLineChars="0"/>
        <w:rPr>
          <w:i w:val="0"/>
          <w:iCs w:val="0"/>
          <w:color w:val="auto"/>
          <w:sz w:val="21"/>
          <w:szCs w:val="15"/>
          <w:highlight w:val="none"/>
          <w:lang w:val="en-US"/>
        </w:rPr>
      </w:pPr>
      <w:r>
        <w:rPr>
          <w:rFonts w:hint="eastAsia"/>
          <w:i w:val="0"/>
          <w:iCs w:val="0"/>
          <w:color w:val="auto"/>
          <w:sz w:val="21"/>
          <w:szCs w:val="15"/>
          <w:highlight w:val="none"/>
          <w:lang w:val="en-US"/>
        </w:rPr>
        <w:t>材料、设备供应和管理；</w:t>
      </w:r>
    </w:p>
    <w:p w14:paraId="234F9C05">
      <w:pPr>
        <w:pStyle w:val="142"/>
        <w:numPr>
          <w:ilvl w:val="0"/>
          <w:numId w:val="33"/>
        </w:numPr>
        <w:ind w:firstLineChars="0"/>
        <w:rPr>
          <w:i w:val="0"/>
          <w:iCs w:val="0"/>
          <w:color w:val="auto"/>
          <w:sz w:val="21"/>
          <w:szCs w:val="15"/>
          <w:highlight w:val="none"/>
          <w:lang w:val="en-US"/>
        </w:rPr>
      </w:pPr>
      <w:r>
        <w:rPr>
          <w:rFonts w:hint="eastAsia"/>
          <w:i w:val="0"/>
          <w:iCs w:val="0"/>
          <w:color w:val="auto"/>
          <w:sz w:val="21"/>
          <w:szCs w:val="15"/>
          <w:highlight w:val="none"/>
          <w:lang w:val="en-US"/>
        </w:rPr>
        <w:t>施工组织技术管理措施；</w:t>
      </w:r>
    </w:p>
    <w:p w14:paraId="234F9C06">
      <w:pPr>
        <w:pStyle w:val="142"/>
        <w:numPr>
          <w:ilvl w:val="0"/>
          <w:numId w:val="33"/>
        </w:numPr>
        <w:ind w:firstLineChars="0"/>
        <w:rPr>
          <w:i w:val="0"/>
          <w:iCs w:val="0"/>
          <w:color w:val="auto"/>
          <w:sz w:val="21"/>
          <w:szCs w:val="15"/>
          <w:highlight w:val="none"/>
          <w:lang w:val="en-US"/>
        </w:rPr>
      </w:pPr>
      <w:r>
        <w:rPr>
          <w:rFonts w:hint="eastAsia"/>
          <w:i w:val="0"/>
          <w:iCs w:val="0"/>
          <w:color w:val="auto"/>
          <w:sz w:val="21"/>
          <w:szCs w:val="15"/>
          <w:highlight w:val="none"/>
          <w:lang w:val="en-US"/>
        </w:rPr>
        <w:t>文明施工主要措施；</w:t>
      </w:r>
    </w:p>
    <w:p w14:paraId="234F9C07">
      <w:pPr>
        <w:pStyle w:val="142"/>
        <w:numPr>
          <w:ilvl w:val="0"/>
          <w:numId w:val="33"/>
        </w:numPr>
        <w:ind w:firstLineChars="0"/>
        <w:rPr>
          <w:i w:val="0"/>
          <w:iCs w:val="0"/>
          <w:color w:val="auto"/>
          <w:sz w:val="21"/>
          <w:szCs w:val="15"/>
          <w:highlight w:val="none"/>
          <w:lang w:val="en-US"/>
        </w:rPr>
      </w:pPr>
      <w:r>
        <w:rPr>
          <w:rFonts w:hint="eastAsia"/>
          <w:i w:val="0"/>
          <w:iCs w:val="0"/>
          <w:color w:val="auto"/>
          <w:sz w:val="21"/>
          <w:szCs w:val="15"/>
          <w:highlight w:val="none"/>
          <w:lang w:val="en-US"/>
        </w:rPr>
        <w:t>保证安全的主要技术措施；</w:t>
      </w:r>
    </w:p>
    <w:p w14:paraId="234F9C08">
      <w:pPr>
        <w:pStyle w:val="142"/>
        <w:numPr>
          <w:ilvl w:val="0"/>
          <w:numId w:val="33"/>
        </w:numPr>
        <w:ind w:firstLineChars="0"/>
        <w:rPr>
          <w:i w:val="0"/>
          <w:iCs w:val="0"/>
          <w:color w:val="auto"/>
          <w:sz w:val="21"/>
          <w:szCs w:val="15"/>
          <w:highlight w:val="none"/>
          <w:lang w:val="en-US"/>
        </w:rPr>
      </w:pPr>
      <w:r>
        <w:rPr>
          <w:rFonts w:hint="eastAsia"/>
          <w:i w:val="0"/>
          <w:iCs w:val="0"/>
          <w:color w:val="auto"/>
          <w:sz w:val="21"/>
          <w:szCs w:val="15"/>
          <w:highlight w:val="none"/>
          <w:lang w:val="en-US"/>
        </w:rPr>
        <w:t>保证工程质量的主要技术措施；</w:t>
      </w:r>
    </w:p>
    <w:p w14:paraId="234F9C09">
      <w:pPr>
        <w:pStyle w:val="142"/>
        <w:numPr>
          <w:ilvl w:val="0"/>
          <w:numId w:val="33"/>
        </w:numPr>
        <w:ind w:firstLineChars="0"/>
        <w:rPr>
          <w:i w:val="0"/>
          <w:iCs w:val="0"/>
          <w:color w:val="auto"/>
          <w:sz w:val="21"/>
          <w:szCs w:val="15"/>
          <w:highlight w:val="none"/>
          <w:lang w:val="en-US"/>
        </w:rPr>
      </w:pPr>
      <w:r>
        <w:rPr>
          <w:rFonts w:hint="eastAsia"/>
          <w:i w:val="0"/>
          <w:iCs w:val="0"/>
          <w:color w:val="auto"/>
          <w:sz w:val="21"/>
          <w:szCs w:val="15"/>
          <w:highlight w:val="none"/>
          <w:lang w:val="en-US"/>
        </w:rPr>
        <w:t>保证工程工期的主要技术措施。</w:t>
      </w:r>
    </w:p>
    <w:p w14:paraId="234F9C0A">
      <w:pPr>
        <w:pStyle w:val="6"/>
        <w:ind w:left="0"/>
        <w:rPr>
          <w:i w:val="0"/>
          <w:iCs w:val="0"/>
          <w:color w:val="auto"/>
          <w:sz w:val="22"/>
          <w:szCs w:val="22"/>
          <w:highlight w:val="none"/>
        </w:rPr>
      </w:pPr>
      <w:bookmarkStart w:id="295" w:name="_Toc22123"/>
      <w:r>
        <w:rPr>
          <w:rFonts w:hint="eastAsia"/>
          <w:i w:val="0"/>
          <w:iCs w:val="0"/>
          <w:color w:val="auto"/>
          <w:sz w:val="22"/>
          <w:szCs w:val="22"/>
          <w:highlight w:val="none"/>
        </w:rPr>
        <w:t>施工场地和条件</w:t>
      </w:r>
      <w:bookmarkEnd w:id="295"/>
    </w:p>
    <w:p w14:paraId="234F9C0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投标人应全面负责施工范围内的现场施工管理，对各车站、车辆段及控制中心等施工场地内的用水、用电、施工现场的安全与卫生、场地内的施工协调等负全面的管理责任。</w:t>
      </w:r>
    </w:p>
    <w:p w14:paraId="234F9C0C">
      <w:pPr>
        <w:pStyle w:val="7"/>
        <w:ind w:left="0"/>
        <w:rPr>
          <w:i w:val="0"/>
          <w:iCs w:val="0"/>
          <w:color w:val="auto"/>
          <w:sz w:val="21"/>
          <w:szCs w:val="21"/>
          <w:highlight w:val="none"/>
        </w:rPr>
      </w:pPr>
      <w:r>
        <w:rPr>
          <w:rFonts w:hint="eastAsia"/>
          <w:i w:val="0"/>
          <w:iCs w:val="0"/>
          <w:color w:val="auto"/>
          <w:sz w:val="21"/>
          <w:szCs w:val="21"/>
          <w:highlight w:val="none"/>
        </w:rPr>
        <w:t>临时用地</w:t>
      </w:r>
    </w:p>
    <w:p w14:paraId="234F9C0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招标人仅提供各车站综合监控设备室现场作为临时设施的用地，工程所需的其它临时设施(如办公、住宿、仓储等)由投标人自行解决。</w:t>
      </w:r>
    </w:p>
    <w:p w14:paraId="234F9C0E">
      <w:pPr>
        <w:pStyle w:val="7"/>
        <w:ind w:left="0"/>
        <w:rPr>
          <w:i w:val="0"/>
          <w:iCs w:val="0"/>
          <w:color w:val="auto"/>
          <w:sz w:val="21"/>
          <w:szCs w:val="21"/>
          <w:highlight w:val="none"/>
        </w:rPr>
      </w:pPr>
      <w:r>
        <w:rPr>
          <w:rFonts w:hint="eastAsia"/>
          <w:i w:val="0"/>
          <w:iCs w:val="0"/>
          <w:color w:val="auto"/>
          <w:sz w:val="21"/>
          <w:szCs w:val="21"/>
          <w:highlight w:val="none"/>
        </w:rPr>
        <w:t>施工通道</w:t>
      </w:r>
    </w:p>
    <w:p w14:paraId="234F9C0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可将车站人行通道作为施工人员、材料、小型设备的出入口。大型设备可租用工程车运输至车站和区间。如投标人的施工设备、采购的设备和材料等需工程车运输，应在投标书中说明，并对所有通过工程车运输的物件做出详细的运输计划，报招标人协调安排。</w:t>
      </w:r>
    </w:p>
    <w:p w14:paraId="234F9C10">
      <w:pPr>
        <w:pStyle w:val="7"/>
        <w:ind w:left="0"/>
        <w:rPr>
          <w:i w:val="0"/>
          <w:iCs w:val="0"/>
          <w:color w:val="auto"/>
          <w:sz w:val="21"/>
          <w:szCs w:val="21"/>
          <w:highlight w:val="none"/>
        </w:rPr>
      </w:pPr>
      <w:r>
        <w:rPr>
          <w:rFonts w:hint="eastAsia"/>
          <w:i w:val="0"/>
          <w:iCs w:val="0"/>
          <w:color w:val="auto"/>
          <w:sz w:val="21"/>
          <w:szCs w:val="21"/>
          <w:highlight w:val="none"/>
        </w:rPr>
        <w:t>场地管理</w:t>
      </w:r>
    </w:p>
    <w:p w14:paraId="234F9C1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施工现场具备进场条件后，投标人需根据招标人的工期安排进入现场进行设备安装，进场费、施工配合费等由投标人自行负责。</w:t>
      </w:r>
    </w:p>
    <w:p w14:paraId="234F9C1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具备较强的工程实施经验及能力，具备处理各类在不利条件下的施工能力，同时对于施工过程中发生的线槽、桥架、管线等由于各种因素造成的二次拆改，投标人应予以充分考虑，不应因此增加任何费用。</w:t>
      </w:r>
    </w:p>
    <w:p w14:paraId="234F9C1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场地一经移交给投标人，投标人应在本工程实施全过程中对场地安全保卫、文明施工、环境卫生、污水排放等负全责，并不得干扰周围居民的正常生活。因场地管理不善而引发的一切纠纷由投标人自行解决，招标人不承担任何责任。</w:t>
      </w:r>
    </w:p>
    <w:p w14:paraId="234F9C1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在本工程完成时，投标人应将其所使用的所有临时设施及剩余材料和垃圾运走，使整个现场和工程保持清洁，并处于良好的状况，除非另有规定。</w:t>
      </w:r>
    </w:p>
    <w:p w14:paraId="234F9C15">
      <w:pPr>
        <w:pStyle w:val="7"/>
        <w:ind w:left="0"/>
        <w:rPr>
          <w:i w:val="0"/>
          <w:iCs w:val="0"/>
          <w:color w:val="auto"/>
          <w:sz w:val="21"/>
          <w:szCs w:val="21"/>
          <w:highlight w:val="none"/>
        </w:rPr>
      </w:pPr>
      <w:r>
        <w:rPr>
          <w:rFonts w:hint="eastAsia"/>
          <w:i w:val="0"/>
          <w:iCs w:val="0"/>
          <w:color w:val="auto"/>
          <w:sz w:val="21"/>
          <w:szCs w:val="21"/>
          <w:highlight w:val="none"/>
        </w:rPr>
        <w:t>施工用水、用电</w:t>
      </w:r>
    </w:p>
    <w:p w14:paraId="234F9C1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除招标文件另有规定外，招标人将在车站、控制中心、车辆段及区间工地设置指定水、电接驳点，供投标人使用。投标人负责由该接驳点至其使用地点的连接设施，但投标人对以上施工用水设施并没有独占权。投标人应配合施工用水、用电的具体安排，并确保只供本工程使用。当以上供水/电安排或工程期间的供水/电有所变动（包括水压、电压、供应等）而无法满足本工程要求时，投标人应自费解决额外的用水／用电安排。</w:t>
      </w:r>
    </w:p>
    <w:p w14:paraId="234F9C1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所有接驳点的设备租用费及水电使用费等由投标人自己负责。</w:t>
      </w:r>
    </w:p>
    <w:p w14:paraId="234F9C1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如投标人提供的仪器设备在保存、调试、运行等方面需要一个控制温度和湿度范围的环境，则在招标人的有关空调系统未能运行前须由投标人自费提供临时空调设施。</w:t>
      </w:r>
    </w:p>
    <w:p w14:paraId="234F9C19">
      <w:pPr>
        <w:pStyle w:val="7"/>
        <w:ind w:left="0"/>
        <w:rPr>
          <w:i w:val="0"/>
          <w:iCs w:val="0"/>
          <w:color w:val="auto"/>
          <w:sz w:val="21"/>
          <w:szCs w:val="21"/>
          <w:highlight w:val="none"/>
        </w:rPr>
      </w:pPr>
      <w:r>
        <w:rPr>
          <w:rFonts w:hint="eastAsia"/>
          <w:i w:val="0"/>
          <w:iCs w:val="0"/>
          <w:color w:val="auto"/>
          <w:sz w:val="21"/>
          <w:szCs w:val="21"/>
          <w:highlight w:val="none"/>
        </w:rPr>
        <w:t>临时建筑、设施</w:t>
      </w:r>
    </w:p>
    <w:p w14:paraId="234F9C1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临时建筑设在招标人批准的范围内，由投标人根据工程需要自行建造，并负责进行修建、维护、拆除及必要的恢复工作等全部工作。</w:t>
      </w:r>
    </w:p>
    <w:p w14:paraId="234F9C1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投标人必要时应配备设备用房的临时空调，以满足安装和设备本身的要求。</w:t>
      </w:r>
    </w:p>
    <w:p w14:paraId="234F9C1C">
      <w:pPr>
        <w:pStyle w:val="7"/>
        <w:ind w:left="0"/>
        <w:rPr>
          <w:i w:val="0"/>
          <w:iCs w:val="0"/>
          <w:color w:val="auto"/>
          <w:sz w:val="21"/>
          <w:szCs w:val="21"/>
          <w:highlight w:val="none"/>
        </w:rPr>
      </w:pPr>
      <w:r>
        <w:rPr>
          <w:rFonts w:hint="eastAsia"/>
          <w:i w:val="0"/>
          <w:iCs w:val="0"/>
          <w:color w:val="auto"/>
          <w:sz w:val="21"/>
          <w:szCs w:val="21"/>
          <w:highlight w:val="none"/>
        </w:rPr>
        <w:t>临时通信</w:t>
      </w:r>
    </w:p>
    <w:p w14:paraId="234F9C1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为便于施工中的联络，投标人应自费在施工现场安装临时通信工具。</w:t>
      </w:r>
    </w:p>
    <w:p w14:paraId="234F9C1E">
      <w:pPr>
        <w:pStyle w:val="7"/>
        <w:ind w:left="0"/>
        <w:rPr>
          <w:i w:val="0"/>
          <w:iCs w:val="0"/>
          <w:color w:val="auto"/>
          <w:sz w:val="21"/>
          <w:szCs w:val="21"/>
          <w:highlight w:val="none"/>
        </w:rPr>
      </w:pPr>
      <w:r>
        <w:rPr>
          <w:rFonts w:hint="eastAsia"/>
          <w:i w:val="0"/>
          <w:iCs w:val="0"/>
          <w:color w:val="auto"/>
          <w:sz w:val="21"/>
          <w:szCs w:val="21"/>
          <w:highlight w:val="none"/>
        </w:rPr>
        <w:t>进场条件</w:t>
      </w:r>
    </w:p>
    <w:p w14:paraId="234F9C1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招标人将根据工程及投标人的要求，向投标人提供必要的进场条件，而投标人应主动配合招标人创造条件及完成其本身范围内的进场条件，但不得以招标人未提供充分进场条件为由而怠工或要求补偿。</w:t>
      </w:r>
    </w:p>
    <w:p w14:paraId="234F9C20">
      <w:pPr>
        <w:pStyle w:val="7"/>
        <w:ind w:left="0"/>
        <w:rPr>
          <w:i w:val="0"/>
          <w:iCs w:val="0"/>
          <w:color w:val="auto"/>
          <w:sz w:val="21"/>
          <w:szCs w:val="21"/>
          <w:highlight w:val="none"/>
        </w:rPr>
      </w:pPr>
      <w:r>
        <w:rPr>
          <w:rFonts w:hint="eastAsia"/>
          <w:i w:val="0"/>
          <w:iCs w:val="0"/>
          <w:color w:val="auto"/>
          <w:sz w:val="21"/>
          <w:szCs w:val="21"/>
          <w:highlight w:val="none"/>
        </w:rPr>
        <w:t>现场的检查与移交</w:t>
      </w:r>
    </w:p>
    <w:p w14:paraId="234F9C2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对不同系统的安装，应具备一定的前提条件。投标人应参加与设备相关的专业相关工序检查。</w:t>
      </w:r>
    </w:p>
    <w:p w14:paraId="234F9C22">
      <w:pPr>
        <w:pStyle w:val="6"/>
        <w:ind w:left="0"/>
        <w:rPr>
          <w:i w:val="0"/>
          <w:iCs w:val="0"/>
          <w:color w:val="auto"/>
          <w:sz w:val="22"/>
          <w:szCs w:val="22"/>
          <w:highlight w:val="none"/>
        </w:rPr>
      </w:pPr>
      <w:bookmarkStart w:id="296" w:name="_Toc5175"/>
      <w:r>
        <w:rPr>
          <w:rFonts w:hint="eastAsia"/>
          <w:i w:val="0"/>
          <w:iCs w:val="0"/>
          <w:color w:val="auto"/>
          <w:sz w:val="22"/>
          <w:szCs w:val="22"/>
          <w:highlight w:val="none"/>
        </w:rPr>
        <w:t>施工准备</w:t>
      </w:r>
      <w:bookmarkEnd w:id="296"/>
    </w:p>
    <w:p w14:paraId="234F9C2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投标人应充分考虑本工程的特点，包括工期要求和施工时的相互干扰等，提出切实可行的施工方法和施工组织方案；</w:t>
      </w:r>
    </w:p>
    <w:p w14:paraId="234F9C2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认真作好施工图交底工作；</w:t>
      </w:r>
    </w:p>
    <w:p w14:paraId="234F9C2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检查安装机具的种类、数量及功能是否满足施工要求；</w:t>
      </w:r>
    </w:p>
    <w:p w14:paraId="234F9C2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检查场地是否满足进场条件；</w:t>
      </w:r>
    </w:p>
    <w:p w14:paraId="234F9C2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针对本工程的特点，对各级施工人员进行有关安装工艺质量及安全等方面的培训，并经考核合格，方准参加本工程的施工；</w:t>
      </w:r>
    </w:p>
    <w:p w14:paraId="234F9C2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应编制施工组织方案的实施计划，并与其他设备与建筑装修工作相协调。</w:t>
      </w:r>
    </w:p>
    <w:p w14:paraId="234F9C2A">
      <w:pPr>
        <w:pStyle w:val="6"/>
        <w:ind w:left="0"/>
        <w:rPr>
          <w:i w:val="0"/>
          <w:iCs w:val="0"/>
          <w:color w:val="auto"/>
          <w:sz w:val="22"/>
          <w:szCs w:val="22"/>
          <w:highlight w:val="none"/>
        </w:rPr>
      </w:pPr>
      <w:bookmarkStart w:id="297" w:name="_Toc6206"/>
      <w:r>
        <w:rPr>
          <w:rFonts w:hint="eastAsia"/>
          <w:i w:val="0"/>
          <w:iCs w:val="0"/>
          <w:color w:val="auto"/>
          <w:sz w:val="22"/>
          <w:szCs w:val="22"/>
          <w:highlight w:val="none"/>
        </w:rPr>
        <w:t>设备材料到货检查</w:t>
      </w:r>
      <w:bookmarkEnd w:id="297"/>
    </w:p>
    <w:p w14:paraId="234F9C2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投标材料与实际到货材料不一致时，每次按到货材料的合同款的10%作为罚金，并按投标材料要求进行更换，具体条款见商务部分。</w:t>
      </w:r>
    </w:p>
    <w:p w14:paraId="234F9C2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设备材料根据设备供货合同，在指定的地点进行开箱检验。开箱检验时必须要有招标人代表、投标人代表参加下才可进行。</w:t>
      </w:r>
    </w:p>
    <w:p w14:paraId="234F9C2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随机文件必须包括产品清单、产品出厂合格证、主要部件及整机的监测报告、原产地证明文件等，对有消防等特殊要求的，还应附上国家指定监测部门出具的监测报告及本地主管部门出具的允许使用的证明文件。</w:t>
      </w:r>
    </w:p>
    <w:p w14:paraId="234F9C2E">
      <w:pPr>
        <w:pStyle w:val="6"/>
        <w:ind w:left="0"/>
        <w:rPr>
          <w:i w:val="0"/>
          <w:iCs w:val="0"/>
          <w:color w:val="auto"/>
          <w:sz w:val="22"/>
          <w:szCs w:val="22"/>
          <w:highlight w:val="none"/>
        </w:rPr>
      </w:pPr>
      <w:bookmarkStart w:id="298" w:name="_Toc19731"/>
      <w:r>
        <w:rPr>
          <w:rFonts w:hint="eastAsia"/>
          <w:i w:val="0"/>
          <w:iCs w:val="0"/>
          <w:color w:val="auto"/>
          <w:sz w:val="22"/>
          <w:szCs w:val="22"/>
          <w:highlight w:val="none"/>
        </w:rPr>
        <w:t>设备材料现场保管和维护</w:t>
      </w:r>
      <w:bookmarkEnd w:id="298"/>
    </w:p>
    <w:p w14:paraId="234F9C2F">
      <w:pPr>
        <w:pStyle w:val="7"/>
        <w:ind w:left="0"/>
        <w:rPr>
          <w:i w:val="0"/>
          <w:iCs w:val="0"/>
          <w:color w:val="auto"/>
          <w:sz w:val="21"/>
          <w:szCs w:val="21"/>
          <w:highlight w:val="none"/>
        </w:rPr>
      </w:pPr>
      <w:r>
        <w:rPr>
          <w:rFonts w:hint="eastAsia"/>
          <w:i w:val="0"/>
          <w:iCs w:val="0"/>
          <w:color w:val="auto"/>
          <w:sz w:val="21"/>
          <w:szCs w:val="21"/>
          <w:highlight w:val="none"/>
        </w:rPr>
        <w:t>一般规定</w:t>
      </w:r>
    </w:p>
    <w:p w14:paraId="234F9C3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施工范围内的所有设备、设施的维护保管应遵循这些设备的国家有关规定及设备说明书要求，引进设备还应遵守系统与外方签订的有关合同规定。因投标人原因造成材料、设备受损，一切费用和补救由投标人承担。</w:t>
      </w:r>
    </w:p>
    <w:p w14:paraId="234F9C31">
      <w:pPr>
        <w:pStyle w:val="7"/>
        <w:ind w:left="0"/>
        <w:rPr>
          <w:i w:val="0"/>
          <w:iCs w:val="0"/>
          <w:color w:val="auto"/>
          <w:sz w:val="21"/>
          <w:szCs w:val="21"/>
          <w:highlight w:val="none"/>
        </w:rPr>
      </w:pPr>
      <w:r>
        <w:rPr>
          <w:rFonts w:hint="eastAsia"/>
          <w:i w:val="0"/>
          <w:iCs w:val="0"/>
          <w:color w:val="auto"/>
          <w:sz w:val="21"/>
          <w:szCs w:val="21"/>
          <w:highlight w:val="none"/>
        </w:rPr>
        <w:t>设备的现场保管和维护</w:t>
      </w:r>
    </w:p>
    <w:p w14:paraId="234F9C3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清点完到货设备后，应建立设备清单；工程完成之后，与招标人办理设备移交手续，投标人应承担移交手续完成前现场设备的保管、维护责任，对丢失、损坏的设备，移交前进行补充安装和更换，并由投标人承担相关费用。</w:t>
      </w:r>
    </w:p>
    <w:p w14:paraId="234F9C3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在进行任何与其他专业设备、管线有直接关系的安装、调试活动前的3天，应书面通知招标人和相关各方，以便其作好正确的维护和保管工作，因不及时通知而造成的所有直接损失由投标人无条件予以赔偿。</w:t>
      </w:r>
    </w:p>
    <w:p w14:paraId="234F9C3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在安装完成，竣工验收之后，为配合试运行，投标人应留主要施工人员和技术人员配合招标人维修、保养及试运行90天。</w:t>
      </w:r>
    </w:p>
    <w:p w14:paraId="234F9C35">
      <w:pPr>
        <w:pStyle w:val="7"/>
        <w:ind w:left="0"/>
        <w:rPr>
          <w:i w:val="0"/>
          <w:iCs w:val="0"/>
          <w:color w:val="auto"/>
          <w:sz w:val="21"/>
          <w:szCs w:val="21"/>
          <w:highlight w:val="none"/>
        </w:rPr>
      </w:pPr>
      <w:r>
        <w:rPr>
          <w:rFonts w:hint="eastAsia"/>
          <w:i w:val="0"/>
          <w:iCs w:val="0"/>
          <w:color w:val="auto"/>
          <w:sz w:val="21"/>
          <w:szCs w:val="21"/>
          <w:highlight w:val="none"/>
        </w:rPr>
        <w:t>材料的现场保管和维护</w:t>
      </w:r>
    </w:p>
    <w:p w14:paraId="234F9C3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投标人的现场施工材料应存放在其临建仓库，考虑到站内空间较密集，未经招标人许可，不得在站内任何房间或区域堆放材料。</w:t>
      </w:r>
    </w:p>
    <w:p w14:paraId="234F9C3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投标人应负责存放材料的防火、防盗、防潮等，且不得因存放和维护措施不当而造成材料的变形、变质。</w:t>
      </w:r>
    </w:p>
    <w:p w14:paraId="234F9C3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安装完毕的管线、预埋的管线系统，投标人应予以维护，因投标人原因而造成其他系统的管线毁坏将由投标人负责复原，若因此而造成工期延误则由投标人赶工补偿。</w:t>
      </w:r>
    </w:p>
    <w:p w14:paraId="30E905E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投标人应承担移交手续完成前现场材料的保管、维护责任，对丢失、损坏的材料，移交前进行补充和更换，并由投标人承担相关费用。</w:t>
      </w:r>
    </w:p>
    <w:p w14:paraId="234F9C3A">
      <w:pPr>
        <w:pStyle w:val="6"/>
        <w:ind w:left="0"/>
        <w:rPr>
          <w:i w:val="0"/>
          <w:iCs w:val="0"/>
          <w:color w:val="auto"/>
          <w:sz w:val="22"/>
          <w:szCs w:val="22"/>
          <w:highlight w:val="none"/>
          <w:lang w:val="en-US"/>
        </w:rPr>
      </w:pPr>
      <w:bookmarkStart w:id="299" w:name="_Toc16453"/>
      <w:r>
        <w:rPr>
          <w:rFonts w:hint="eastAsia"/>
          <w:i w:val="0"/>
          <w:iCs w:val="0"/>
          <w:color w:val="auto"/>
          <w:sz w:val="22"/>
          <w:szCs w:val="22"/>
          <w:highlight w:val="none"/>
          <w:lang w:val="en-US"/>
        </w:rPr>
        <w:t>安全文明施工</w:t>
      </w:r>
      <w:bookmarkEnd w:id="299"/>
    </w:p>
    <w:p w14:paraId="234F9C3B">
      <w:pPr>
        <w:pStyle w:val="7"/>
        <w:ind w:left="0"/>
        <w:rPr>
          <w:i w:val="0"/>
          <w:iCs w:val="0"/>
          <w:color w:val="auto"/>
          <w:sz w:val="21"/>
          <w:szCs w:val="21"/>
          <w:highlight w:val="none"/>
        </w:rPr>
      </w:pPr>
      <w:r>
        <w:rPr>
          <w:rFonts w:hint="eastAsia"/>
          <w:i w:val="0"/>
          <w:iCs w:val="0"/>
          <w:color w:val="auto"/>
          <w:sz w:val="21"/>
          <w:szCs w:val="21"/>
          <w:highlight w:val="none"/>
        </w:rPr>
        <w:t>总则</w:t>
      </w:r>
    </w:p>
    <w:p w14:paraId="234F9C3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严格遵守国家和长沙市颁布的有关安全生产及文明施工的规定，招标人将进行不定期的检查。如政府相关部门发现投标人有违例施工或不符文明施工的情况，视问题的严重程度进行处置，甚至处罚。由此造成的一切损失由投标人自行承担。</w:t>
      </w:r>
    </w:p>
    <w:p w14:paraId="234F9C3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指定安全生产及文明施工的责任人，并结合本工程的特点制定一整套安全生产和文明施工的规章制度，有关责任人和规章制度在本合同签订后90天内、进场施工前报送给招标人备案，特殊工程项目需采取特别安全防护措施，并应事先报告招标人批准，否则不能动工。</w:t>
      </w:r>
    </w:p>
    <w:p w14:paraId="234F9C3E">
      <w:pPr>
        <w:pStyle w:val="7"/>
        <w:ind w:left="0"/>
        <w:rPr>
          <w:i w:val="0"/>
          <w:iCs w:val="0"/>
          <w:color w:val="auto"/>
          <w:sz w:val="21"/>
          <w:szCs w:val="21"/>
          <w:highlight w:val="none"/>
        </w:rPr>
      </w:pPr>
      <w:r>
        <w:rPr>
          <w:rFonts w:hint="eastAsia"/>
          <w:i w:val="0"/>
          <w:iCs w:val="0"/>
          <w:color w:val="auto"/>
          <w:sz w:val="21"/>
          <w:szCs w:val="21"/>
          <w:highlight w:val="none"/>
        </w:rPr>
        <w:t>安全防护</w:t>
      </w:r>
    </w:p>
    <w:p w14:paraId="3F59D98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投标人对安全防护负有全部责任。在工程最终验收之前的整个施工期内，投标人必须制定并采取一切必要的措施，保证工程现场施工安全（包括投标人和非投标人的人员安全），维护工地正常生产、生活秩序。</w:t>
      </w:r>
    </w:p>
    <w:p w14:paraId="234F9C3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遵守国家颁布的有关安全规程，在合同签订后90天内、进场施工前，必须制定一份有关安全技术组织措施的书面报告，递交招标人批准。对于不符合我国法律、法令、安全规程及本合同规定的事故隐患，招标人有权进行干预，如发生重大安全事故，投标人必须按国家的有关法规及时通知招标人和有关上级主管部门，并按《工程建设重大事故报告和调查程序规定》执行。投标人应对因违反安全规程造成的责任事故承担责任，而不应为此增加招标人支付费用或延迟施工进度。</w:t>
      </w:r>
    </w:p>
    <w:p w14:paraId="234F9C4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凡属投标人雇用的现场工作人员，投标人必须根据作业种类和特点并按照国家的劳动保护法等法律法规要求，承担其全部安全防护责任。</w:t>
      </w:r>
    </w:p>
    <w:p w14:paraId="234F9C41">
      <w:pPr>
        <w:pStyle w:val="7"/>
        <w:ind w:left="0"/>
        <w:rPr>
          <w:i w:val="0"/>
          <w:iCs w:val="0"/>
          <w:color w:val="auto"/>
          <w:sz w:val="21"/>
          <w:szCs w:val="21"/>
          <w:highlight w:val="none"/>
        </w:rPr>
      </w:pPr>
      <w:r>
        <w:rPr>
          <w:rFonts w:hint="eastAsia"/>
          <w:i w:val="0"/>
          <w:iCs w:val="0"/>
          <w:color w:val="auto"/>
          <w:sz w:val="21"/>
          <w:szCs w:val="21"/>
          <w:highlight w:val="none"/>
        </w:rPr>
        <w:t>安全防护信号</w:t>
      </w:r>
    </w:p>
    <w:p w14:paraId="234F9C4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投标人应在施工工程区内设置一切必要的安全防护信号（或标志）装置，这些信号装置包括（但不限于）：</w:t>
      </w:r>
    </w:p>
    <w:p w14:paraId="234F9C43">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道路交通标志和标线（符合GB5768规定）。</w:t>
      </w:r>
    </w:p>
    <w:p w14:paraId="234F9C44">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报警信号；</w:t>
      </w:r>
    </w:p>
    <w:p w14:paraId="234F9C45">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危险信号（或标志）。</w:t>
      </w:r>
    </w:p>
    <w:p w14:paraId="234F9C4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投标人应负责维护自己和招标人在工程区内放置的所有信号（或标志）装置。</w:t>
      </w:r>
    </w:p>
    <w:p w14:paraId="234F9C4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若招标人认为投标人提供的信号（或标志）系统不能有效地保证安全，投标人必须按招标人的要求补充、修改、更换该系统或标志。</w:t>
      </w:r>
    </w:p>
    <w:p w14:paraId="234F9C48">
      <w:pPr>
        <w:pStyle w:val="7"/>
        <w:ind w:left="0"/>
        <w:rPr>
          <w:i w:val="0"/>
          <w:iCs w:val="0"/>
          <w:color w:val="auto"/>
          <w:sz w:val="21"/>
          <w:szCs w:val="21"/>
          <w:highlight w:val="none"/>
        </w:rPr>
      </w:pPr>
      <w:r>
        <w:rPr>
          <w:rFonts w:hint="eastAsia"/>
          <w:i w:val="0"/>
          <w:iCs w:val="0"/>
          <w:color w:val="auto"/>
          <w:sz w:val="21"/>
          <w:szCs w:val="21"/>
          <w:highlight w:val="none"/>
        </w:rPr>
        <w:t>安全防护规程</w:t>
      </w:r>
    </w:p>
    <w:p w14:paraId="234F9C4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投标人应根据国家颁布的安全规程，编印适合于本工程使用的安全防护规程，并提交招标人审批。安全防护规程的内容应包括（但不限于）：</w:t>
      </w:r>
    </w:p>
    <w:p w14:paraId="234F9C4A">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防护衣、安全帽、防护鞋袜及其他防护用品的使用；</w:t>
      </w:r>
    </w:p>
    <w:p w14:paraId="234F9C4B">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升降机和起重机的使用；</w:t>
      </w:r>
    </w:p>
    <w:p w14:paraId="234F9C4C">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汽车驾驶和运输机械的使用；</w:t>
      </w:r>
    </w:p>
    <w:p w14:paraId="234F9C4D">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用电安全；</w:t>
      </w:r>
    </w:p>
    <w:p w14:paraId="234F9C4E">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金属结构安装作业的安全；</w:t>
      </w:r>
    </w:p>
    <w:p w14:paraId="234F9C4F">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机修作业的安全；</w:t>
      </w:r>
    </w:p>
    <w:p w14:paraId="234F9C50">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高空作业的安全；</w:t>
      </w:r>
    </w:p>
    <w:p w14:paraId="234F9C51">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焊接和涂漆作业的安全和防护；</w:t>
      </w:r>
    </w:p>
    <w:p w14:paraId="234F9C52">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意外事故和火灾的救护程序；</w:t>
      </w:r>
    </w:p>
    <w:p w14:paraId="234F9C53">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信号和告警知识；</w:t>
      </w:r>
    </w:p>
    <w:p w14:paraId="234F9C54">
      <w:pPr>
        <w:pStyle w:val="142"/>
        <w:numPr>
          <w:ilvl w:val="0"/>
          <w:numId w:val="34"/>
        </w:numPr>
        <w:ind w:firstLineChars="0"/>
        <w:rPr>
          <w:i w:val="0"/>
          <w:iCs w:val="0"/>
          <w:color w:val="auto"/>
          <w:sz w:val="21"/>
          <w:szCs w:val="15"/>
          <w:highlight w:val="none"/>
        </w:rPr>
      </w:pPr>
      <w:r>
        <w:rPr>
          <w:rFonts w:hint="eastAsia"/>
          <w:i w:val="0"/>
          <w:iCs w:val="0"/>
          <w:color w:val="auto"/>
          <w:sz w:val="21"/>
          <w:szCs w:val="15"/>
          <w:highlight w:val="none"/>
        </w:rPr>
        <w:t>其他有关规定。</w:t>
      </w:r>
    </w:p>
    <w:p w14:paraId="234F9C55">
      <w:pPr>
        <w:pStyle w:val="7"/>
        <w:ind w:left="0"/>
        <w:rPr>
          <w:i w:val="0"/>
          <w:iCs w:val="0"/>
          <w:color w:val="auto"/>
          <w:sz w:val="21"/>
          <w:szCs w:val="21"/>
          <w:highlight w:val="none"/>
        </w:rPr>
      </w:pPr>
      <w:r>
        <w:rPr>
          <w:rFonts w:hint="eastAsia"/>
          <w:i w:val="0"/>
          <w:iCs w:val="0"/>
          <w:color w:val="auto"/>
          <w:sz w:val="21"/>
          <w:szCs w:val="21"/>
          <w:highlight w:val="none"/>
        </w:rPr>
        <w:t>环境保护</w:t>
      </w:r>
    </w:p>
    <w:p w14:paraId="234F9C5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遵守国家及长沙市有关环境保护的法令，投标人应采取一切合理步骤保护现场内外的环境，并限制由其施工作业引起的污染、噪声，以及其他对公众人身和财产造成损害和妨碍的后果。投标人应保证在工程实施期间，现场中机动车、施工机械等的气体排放、噪声、地面排水及排污不得超过有关标准和法规的规定。</w:t>
      </w:r>
    </w:p>
    <w:p w14:paraId="234F9C57">
      <w:pPr>
        <w:pStyle w:val="7"/>
        <w:ind w:left="0"/>
        <w:rPr>
          <w:i w:val="0"/>
          <w:iCs w:val="0"/>
          <w:color w:val="auto"/>
          <w:sz w:val="21"/>
          <w:szCs w:val="21"/>
          <w:highlight w:val="none"/>
        </w:rPr>
      </w:pPr>
      <w:r>
        <w:rPr>
          <w:rFonts w:hint="eastAsia"/>
          <w:i w:val="0"/>
          <w:iCs w:val="0"/>
          <w:color w:val="auto"/>
          <w:sz w:val="21"/>
          <w:szCs w:val="21"/>
          <w:highlight w:val="none"/>
        </w:rPr>
        <w:t>成品保护</w:t>
      </w:r>
    </w:p>
    <w:p w14:paraId="234F9C5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须对整个合同期间为未正式交付的设备负最终责任。投标人须在施工期间对所有已到货、已安装的设备采取保护及安保措施，防止设备被其他在场的施工单位或他人破坏。但投标人不能以设备安装后的成品保护责任为由，延迟安装工作，影响投标人其它的工作时程计划。</w:t>
      </w:r>
    </w:p>
    <w:p w14:paraId="234F9C59">
      <w:pPr>
        <w:pStyle w:val="7"/>
        <w:ind w:left="0"/>
        <w:rPr>
          <w:i w:val="0"/>
          <w:iCs w:val="0"/>
          <w:color w:val="auto"/>
          <w:sz w:val="21"/>
          <w:szCs w:val="21"/>
          <w:highlight w:val="none"/>
        </w:rPr>
      </w:pPr>
      <w:r>
        <w:rPr>
          <w:rFonts w:hint="eastAsia"/>
          <w:i w:val="0"/>
          <w:iCs w:val="0"/>
          <w:color w:val="auto"/>
          <w:sz w:val="21"/>
          <w:szCs w:val="21"/>
          <w:highlight w:val="none"/>
        </w:rPr>
        <w:t>文明施工</w:t>
      </w:r>
    </w:p>
    <w:p w14:paraId="234F9C5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投标人应当贯彻文明施工的要求，推行现代管理方法，科学组织施工，做好施工现场的各项管理工作。</w:t>
      </w:r>
    </w:p>
    <w:p w14:paraId="234F9C5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投标人应制定文明施工管理办法，并报招标人审批，通过后方可实施。</w:t>
      </w:r>
    </w:p>
    <w:p w14:paraId="0EA17518">
      <w:pPr>
        <w:pStyle w:val="6"/>
        <w:ind w:left="0"/>
        <w:rPr>
          <w:i w:val="0"/>
          <w:iCs w:val="0"/>
          <w:color w:val="auto"/>
          <w:sz w:val="22"/>
          <w:szCs w:val="22"/>
          <w:highlight w:val="none"/>
        </w:rPr>
      </w:pPr>
      <w:bookmarkStart w:id="300" w:name="_Toc29773"/>
      <w:bookmarkStart w:id="301" w:name="_Toc93674787"/>
      <w:r>
        <w:rPr>
          <w:rFonts w:hint="eastAsia"/>
          <w:i w:val="0"/>
          <w:iCs w:val="0"/>
          <w:color w:val="auto"/>
          <w:sz w:val="22"/>
          <w:szCs w:val="22"/>
          <w:highlight w:val="none"/>
        </w:rPr>
        <w:t>工程临时管理</w:t>
      </w:r>
      <w:bookmarkEnd w:id="300"/>
      <w:bookmarkEnd w:id="301"/>
    </w:p>
    <w:p w14:paraId="4EE0AB9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各分项工程完成之后，招标人保留将已验收的部分委托给投标人进行临时运行的权利，或在招标人运营过程中，委托投标人利用其对系统设备的熟悉，进行巡检和对招标人运营人员的交底。在前一种情况下，投标人应按照有关的规程、规范进行临时运行，对其临管工程部分承担运行、维修、保养的全部责任，保证各项目系统的正常使用。两种情况下，均由招标人承担临时运行的易损、易耗材料、水电等费用，并保留运营管理、调度的全部权利，投标人应毫无保留地将其对设备、系统的操作、保养经验和知识传授给招标人的运营管理人员。</w:t>
      </w:r>
    </w:p>
    <w:p w14:paraId="234F9C5E">
      <w:pPr>
        <w:pStyle w:val="6"/>
        <w:ind w:left="0"/>
        <w:rPr>
          <w:i w:val="0"/>
          <w:iCs w:val="0"/>
          <w:color w:val="auto"/>
          <w:sz w:val="22"/>
          <w:szCs w:val="22"/>
          <w:highlight w:val="none"/>
        </w:rPr>
      </w:pPr>
      <w:bookmarkStart w:id="302" w:name="_Toc10062"/>
      <w:r>
        <w:rPr>
          <w:rFonts w:hint="eastAsia"/>
          <w:i w:val="0"/>
          <w:iCs w:val="0"/>
          <w:color w:val="auto"/>
          <w:sz w:val="22"/>
          <w:szCs w:val="22"/>
          <w:highlight w:val="none"/>
        </w:rPr>
        <w:t>施工人员资质规定</w:t>
      </w:r>
      <w:bookmarkEnd w:id="302"/>
    </w:p>
    <w:p w14:paraId="234F9C5F">
      <w:pPr>
        <w:pStyle w:val="7"/>
        <w:ind w:left="0"/>
        <w:rPr>
          <w:i w:val="0"/>
          <w:iCs w:val="0"/>
          <w:color w:val="auto"/>
          <w:sz w:val="21"/>
          <w:szCs w:val="21"/>
          <w:highlight w:val="none"/>
        </w:rPr>
      </w:pPr>
      <w:r>
        <w:rPr>
          <w:rFonts w:hint="eastAsia"/>
          <w:i w:val="0"/>
          <w:iCs w:val="0"/>
          <w:color w:val="auto"/>
          <w:sz w:val="21"/>
          <w:szCs w:val="21"/>
          <w:highlight w:val="none"/>
        </w:rPr>
        <w:t>安装人员的资格</w:t>
      </w:r>
    </w:p>
    <w:p w14:paraId="234F9C6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投标人应在投标书里详细提供施工人员的技能、教育、培训情况，以证明他们有能力完成本系统的安装，要求技术工人应持有政府管理部门颁发的相关专业的上岗证书。</w:t>
      </w:r>
    </w:p>
    <w:p w14:paraId="234F9C61">
      <w:pPr>
        <w:pStyle w:val="7"/>
        <w:ind w:left="0"/>
        <w:rPr>
          <w:i w:val="0"/>
          <w:iCs w:val="0"/>
          <w:color w:val="auto"/>
          <w:sz w:val="21"/>
          <w:szCs w:val="21"/>
          <w:highlight w:val="none"/>
        </w:rPr>
      </w:pPr>
      <w:r>
        <w:rPr>
          <w:rFonts w:hint="eastAsia"/>
          <w:i w:val="0"/>
          <w:iCs w:val="0"/>
          <w:color w:val="auto"/>
          <w:sz w:val="21"/>
          <w:szCs w:val="21"/>
          <w:highlight w:val="none"/>
        </w:rPr>
        <w:t>施工项目工程师</w:t>
      </w:r>
    </w:p>
    <w:p w14:paraId="234F9C6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施工项目工程师必须完成了相关专业学习，要求具有5年以上同类工程施工安装经验，具有良好的本专业工程施工组织及协调能力。</w:t>
      </w:r>
    </w:p>
    <w:p w14:paraId="234F9C65">
      <w:pPr>
        <w:pStyle w:val="6"/>
        <w:ind w:left="0"/>
        <w:rPr>
          <w:i w:val="0"/>
          <w:iCs w:val="0"/>
          <w:color w:val="auto"/>
          <w:sz w:val="22"/>
          <w:szCs w:val="22"/>
          <w:highlight w:val="none"/>
        </w:rPr>
      </w:pPr>
      <w:bookmarkStart w:id="303" w:name="_Toc31024"/>
      <w:r>
        <w:rPr>
          <w:rFonts w:hint="eastAsia"/>
          <w:i w:val="0"/>
          <w:iCs w:val="0"/>
          <w:color w:val="auto"/>
          <w:sz w:val="22"/>
          <w:szCs w:val="22"/>
          <w:highlight w:val="none"/>
        </w:rPr>
        <w:t>施工质量控制</w:t>
      </w:r>
      <w:bookmarkEnd w:id="303"/>
    </w:p>
    <w:p w14:paraId="234F9C66">
      <w:pPr>
        <w:pStyle w:val="7"/>
        <w:ind w:left="0"/>
        <w:rPr>
          <w:i w:val="0"/>
          <w:iCs w:val="0"/>
          <w:color w:val="auto"/>
          <w:sz w:val="21"/>
          <w:szCs w:val="21"/>
          <w:highlight w:val="none"/>
        </w:rPr>
      </w:pPr>
      <w:r>
        <w:rPr>
          <w:rFonts w:hint="eastAsia"/>
          <w:i w:val="0"/>
          <w:iCs w:val="0"/>
          <w:color w:val="auto"/>
          <w:sz w:val="21"/>
          <w:szCs w:val="21"/>
          <w:highlight w:val="none"/>
        </w:rPr>
        <w:t>质量保证文件</w:t>
      </w:r>
    </w:p>
    <w:p w14:paraId="234F9C6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投标人应为工程范围内的所有设备和材料的设计、制造、安装、测试、验收建立一套质量保证程序即质量保证文件。</w:t>
      </w:r>
    </w:p>
    <w:p w14:paraId="234F9C68">
      <w:pPr>
        <w:pStyle w:val="7"/>
        <w:ind w:left="0"/>
        <w:rPr>
          <w:i w:val="0"/>
          <w:iCs w:val="0"/>
          <w:color w:val="auto"/>
          <w:sz w:val="21"/>
          <w:szCs w:val="21"/>
          <w:highlight w:val="none"/>
        </w:rPr>
      </w:pPr>
      <w:r>
        <w:rPr>
          <w:rFonts w:hint="eastAsia"/>
          <w:i w:val="0"/>
          <w:iCs w:val="0"/>
          <w:color w:val="auto"/>
          <w:sz w:val="21"/>
          <w:szCs w:val="21"/>
          <w:highlight w:val="none"/>
        </w:rPr>
        <w:t>质量控制要求</w:t>
      </w:r>
    </w:p>
    <w:p w14:paraId="234F9C6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贯彻GB/T19000《质量管理体系基础和术语》，建立、健全工程质量保证体系，完善质量管理制度，建立质量控制流程。</w:t>
      </w:r>
    </w:p>
    <w:p w14:paraId="234F9C6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建立自检、互检制度，每个分项目或某个独立机构组织的施工，都应指定质量负责人，负责落实这项工作。</w:t>
      </w:r>
    </w:p>
    <w:p w14:paraId="234F9C6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投标人应严格按照本项目的安装指南和有关文件（手册）的规定，以及有关的施工图纸进行施工。</w:t>
      </w:r>
    </w:p>
    <w:p w14:paraId="234F9C6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必须有安装过程的质量记录，记录中应有检查项目、安装要求、安装划分阶段、安装人和检查人签名、招标人检查后的签名等。记录格式、数量和工程阶段的划分，应在施工组织中提出，取得招标人认可后才能使用。</w:t>
      </w:r>
    </w:p>
    <w:p w14:paraId="234F9C6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凡属隐蔽工程，在覆盖前48小时，应书面通知招标人检查验收，招标人将在接到通知后的24小时到现场检查验收，认为合格即予签证，未经签证不得自行封闭，否则将承担由此引起的一切后果和损失。</w:t>
      </w:r>
    </w:p>
    <w:p w14:paraId="234F9C6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应自觉接受招标人的指导，无论什么情况，当招标人怀疑设备某个部件存在缺陷或故障，要求投标人查找时，投标人不得拒绝，所发生的费用将由投标人负责。</w:t>
      </w:r>
    </w:p>
    <w:p w14:paraId="234F9C6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招标人所进行的各种检查、试验和签证均不解除投标人对工程安装质量所负的全面责任。</w:t>
      </w:r>
    </w:p>
    <w:p w14:paraId="234F9C7D">
      <w:pPr>
        <w:pStyle w:val="3"/>
        <w:rPr>
          <w:i w:val="0"/>
          <w:iCs w:val="0"/>
          <w:color w:val="auto"/>
          <w:sz w:val="24"/>
          <w:szCs w:val="32"/>
          <w:highlight w:val="none"/>
        </w:rPr>
      </w:pPr>
      <w:bookmarkStart w:id="304" w:name="_Toc31303"/>
      <w:r>
        <w:rPr>
          <w:rFonts w:hint="eastAsia"/>
          <w:i w:val="0"/>
          <w:iCs w:val="0"/>
          <w:color w:val="auto"/>
          <w:sz w:val="24"/>
          <w:szCs w:val="32"/>
          <w:highlight w:val="none"/>
        </w:rPr>
        <w:t>软件管理</w:t>
      </w:r>
      <w:bookmarkEnd w:id="304"/>
      <w:r>
        <w:rPr>
          <w:rFonts w:hint="eastAsia" w:ascii="Times New Roman" w:hAnsi="Times New Roman" w:cs="Times New Roman"/>
          <w:i w:val="0"/>
          <w:iCs w:val="0"/>
          <w:color w:val="auto"/>
          <w:sz w:val="24"/>
          <w:szCs w:val="32"/>
          <w:highlight w:val="none"/>
        </w:rPr>
        <w:t>★</w:t>
      </w:r>
    </w:p>
    <w:p w14:paraId="234F9C7E">
      <w:pPr>
        <w:pStyle w:val="4"/>
        <w:rPr>
          <w:i w:val="0"/>
          <w:iCs w:val="0"/>
          <w:color w:val="auto"/>
          <w:sz w:val="24"/>
          <w:szCs w:val="21"/>
          <w:highlight w:val="none"/>
        </w:rPr>
      </w:pPr>
      <w:bookmarkStart w:id="305" w:name="_Toc93674790"/>
      <w:bookmarkStart w:id="306" w:name="_Toc85528767"/>
      <w:bookmarkStart w:id="307" w:name="_Toc11394"/>
      <w:bookmarkStart w:id="308" w:name="_Toc216637923"/>
      <w:r>
        <w:rPr>
          <w:rFonts w:hint="eastAsia"/>
          <w:i w:val="0"/>
          <w:iCs w:val="0"/>
          <w:color w:val="auto"/>
          <w:sz w:val="24"/>
          <w:szCs w:val="21"/>
          <w:highlight w:val="none"/>
        </w:rPr>
        <w:t>设计规范及标准</w:t>
      </w:r>
      <w:bookmarkEnd w:id="305"/>
      <w:bookmarkEnd w:id="306"/>
      <w:bookmarkEnd w:id="307"/>
      <w:bookmarkEnd w:id="308"/>
    </w:p>
    <w:p w14:paraId="234F9C7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如无特别说明其它软件管理要求，本合同的软件管理应至少满足以下设计规范及标准:</w:t>
      </w:r>
    </w:p>
    <w:p w14:paraId="234F9C8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《软件工程术语》</w:t>
      </w:r>
    </w:p>
    <w:p w14:paraId="32952E2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《计算机软件质量保证计划规范》</w:t>
      </w:r>
    </w:p>
    <w:p w14:paraId="234F9C8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《信息技术软件生存期过程》</w:t>
      </w:r>
    </w:p>
    <w:p w14:paraId="234F9C8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《计算机软件产品开发文件编制指南》</w:t>
      </w:r>
    </w:p>
    <w:p w14:paraId="234F9C8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《计算机软件配置管理计划规范》</w:t>
      </w:r>
    </w:p>
    <w:p w14:paraId="234F9C85">
      <w:pPr>
        <w:pStyle w:val="4"/>
        <w:rPr>
          <w:i w:val="0"/>
          <w:iCs w:val="0"/>
          <w:color w:val="auto"/>
          <w:sz w:val="24"/>
          <w:szCs w:val="21"/>
          <w:highlight w:val="none"/>
        </w:rPr>
      </w:pPr>
      <w:bookmarkStart w:id="309" w:name="_Toc85528768"/>
      <w:bookmarkStart w:id="310" w:name="_Toc26689"/>
      <w:bookmarkStart w:id="311" w:name="_Toc93674791"/>
      <w:bookmarkStart w:id="312" w:name="_Toc216637924"/>
      <w:r>
        <w:rPr>
          <w:rFonts w:hint="eastAsia"/>
          <w:i w:val="0"/>
          <w:iCs w:val="0"/>
          <w:color w:val="auto"/>
          <w:sz w:val="24"/>
          <w:szCs w:val="21"/>
          <w:highlight w:val="none"/>
        </w:rPr>
        <w:t>软件生命周期</w:t>
      </w:r>
      <w:bookmarkEnd w:id="309"/>
      <w:bookmarkEnd w:id="310"/>
      <w:bookmarkEnd w:id="311"/>
      <w:bookmarkEnd w:id="312"/>
    </w:p>
    <w:p w14:paraId="234F9C8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投标人提供系统软件时，应经过一个完整的软件生命周期控制，包括软件的设计、开发或采购、安装、测试、验收、交付、运行及维护管理。由于软件通常是系统中的一个组成部分，软件活动必须与系统各阶段的划分配合。在软件生命周期过程中，投标人应至少实施以下的软件管理工作：</w:t>
      </w:r>
    </w:p>
    <w:p w14:paraId="234F9C87">
      <w:pPr>
        <w:pStyle w:val="6"/>
        <w:ind w:left="0"/>
        <w:rPr>
          <w:i w:val="0"/>
          <w:iCs w:val="0"/>
          <w:color w:val="auto"/>
          <w:sz w:val="22"/>
          <w:szCs w:val="22"/>
          <w:highlight w:val="none"/>
        </w:rPr>
      </w:pPr>
      <w:bookmarkStart w:id="313" w:name="_Toc9443"/>
      <w:bookmarkStart w:id="314" w:name="_Toc93674792"/>
      <w:r>
        <w:rPr>
          <w:rFonts w:hint="eastAsia"/>
          <w:i w:val="0"/>
          <w:iCs w:val="0"/>
          <w:color w:val="auto"/>
          <w:sz w:val="22"/>
          <w:szCs w:val="22"/>
          <w:highlight w:val="none"/>
        </w:rPr>
        <w:t>软件配置管理</w:t>
      </w:r>
      <w:bookmarkEnd w:id="313"/>
      <w:bookmarkEnd w:id="314"/>
    </w:p>
    <w:p w14:paraId="234F9C8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投标人应对合同中提供的所有软件进行软件配置管理，以便有效地实现软件生命周期间各阶段的版本和变动控制。在软件配置管理中，投标人应准确记录所有软件的版本及变动。</w:t>
      </w:r>
    </w:p>
    <w:p w14:paraId="234F9C8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建立有效机制以确保软件配置内容的准确性。招标人可按需要审核投标人软件配置管理机制的功能及准确性。投标人须根据招标人考核结果的建议改善软件配置管理机制，以确保向招标人提供软件的良好配置管理。</w:t>
      </w:r>
    </w:p>
    <w:p w14:paraId="234F9C8A">
      <w:pPr>
        <w:pStyle w:val="6"/>
        <w:ind w:left="0"/>
        <w:rPr>
          <w:i w:val="0"/>
          <w:iCs w:val="0"/>
          <w:color w:val="auto"/>
          <w:sz w:val="22"/>
          <w:szCs w:val="22"/>
          <w:highlight w:val="none"/>
        </w:rPr>
      </w:pPr>
      <w:bookmarkStart w:id="315" w:name="_Toc93674793"/>
      <w:bookmarkStart w:id="316" w:name="_Toc10702"/>
      <w:r>
        <w:rPr>
          <w:rFonts w:hint="eastAsia"/>
          <w:i w:val="0"/>
          <w:iCs w:val="0"/>
          <w:color w:val="auto"/>
          <w:sz w:val="22"/>
          <w:szCs w:val="22"/>
          <w:highlight w:val="none"/>
        </w:rPr>
        <w:t>软件设计</w:t>
      </w:r>
      <w:bookmarkEnd w:id="315"/>
      <w:bookmarkEnd w:id="316"/>
    </w:p>
    <w:p w14:paraId="234F9C8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投标人在设计或采购软件前，应根据招标人用户需求定义所有系统功能、测试和维护要求。</w:t>
      </w:r>
    </w:p>
    <w:p w14:paraId="234F9C8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投标人应根据系统所有的功能与非功能(如系统维护、系统可用性、系统可靠性等)的需求，定义相关的软件需求。投标人应提供相关的软件设计需求书，说明系统内采用所有软件的需求考虑。</w:t>
      </w:r>
    </w:p>
    <w:p w14:paraId="234F9C8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如系统利用软件实现一些重要功能（指其故障影响到人身安全及整个系统的正常运营)，投标人应经过危机分析与风险评估以确保软件能可靠地实现其需求并在软件设计需求书说明以便招标人审核。</w:t>
      </w:r>
    </w:p>
    <w:p w14:paraId="234F9C8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所有软件需求必须与相关硬件要求配合，以达到整体系统的总体功能需求。</w:t>
      </w:r>
    </w:p>
    <w:p w14:paraId="234F9C8F">
      <w:pPr>
        <w:pStyle w:val="6"/>
        <w:ind w:left="0"/>
        <w:rPr>
          <w:i w:val="0"/>
          <w:iCs w:val="0"/>
          <w:color w:val="auto"/>
          <w:sz w:val="22"/>
          <w:szCs w:val="22"/>
          <w:highlight w:val="none"/>
        </w:rPr>
      </w:pPr>
      <w:bookmarkStart w:id="317" w:name="_Toc93674794"/>
      <w:bookmarkStart w:id="318" w:name="_Toc2891"/>
      <w:r>
        <w:rPr>
          <w:rFonts w:hint="eastAsia"/>
          <w:i w:val="0"/>
          <w:iCs w:val="0"/>
          <w:color w:val="auto"/>
          <w:sz w:val="22"/>
          <w:szCs w:val="22"/>
          <w:highlight w:val="none"/>
        </w:rPr>
        <w:t>软件开发或软件获取</w:t>
      </w:r>
      <w:bookmarkEnd w:id="317"/>
      <w:bookmarkEnd w:id="318"/>
    </w:p>
    <w:p w14:paraId="234F9C9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当投标人定义软件需求后，投标人可按软件需求自行开发或从第三方购买现货软件。现货软件是投标人或分包商从市场采购而不需再经任何开发的软件，包括所有操作系统等不需再经任何开发的软件。</w:t>
      </w:r>
    </w:p>
    <w:p w14:paraId="234F9C91">
      <w:pPr>
        <w:pStyle w:val="7"/>
        <w:ind w:left="0"/>
        <w:rPr>
          <w:i w:val="0"/>
          <w:iCs w:val="0"/>
          <w:color w:val="auto"/>
          <w:sz w:val="21"/>
          <w:szCs w:val="21"/>
          <w:highlight w:val="none"/>
        </w:rPr>
      </w:pPr>
      <w:r>
        <w:rPr>
          <w:rFonts w:hint="eastAsia"/>
          <w:i w:val="0"/>
          <w:iCs w:val="0"/>
          <w:color w:val="auto"/>
          <w:sz w:val="21"/>
          <w:szCs w:val="21"/>
          <w:highlight w:val="none"/>
        </w:rPr>
        <w:t>软件由第三方提供或从第三方获取</w:t>
      </w:r>
    </w:p>
    <w:p w14:paraId="234F9C9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当投标人从第三方购买现货软件、非开发项目软件或固件时，应采取有效的软件获取管理。</w:t>
      </w:r>
    </w:p>
    <w:p w14:paraId="234F9C9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软件获取管理是指投标人应保证所购买现货软件、非开发项目或固件时应满足下述条件：</w:t>
      </w:r>
    </w:p>
    <w:p w14:paraId="234F9C94">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投标人应证明该软件满足所有系统相关的软件需求；</w:t>
      </w:r>
    </w:p>
    <w:p w14:paraId="234F9C95">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投标人应提供软件在其它项目使用参考，以便证明软件的稳定性；</w:t>
      </w:r>
    </w:p>
    <w:p w14:paraId="234F9C96">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接口配置、相关接口开发资料等；</w:t>
      </w:r>
    </w:p>
    <w:p w14:paraId="234F9C97">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投标人应证明交付后招标人对软件拥有使用及拥有权；</w:t>
      </w:r>
    </w:p>
    <w:p w14:paraId="234F9C98">
      <w:pPr>
        <w:pStyle w:val="142"/>
        <w:numPr>
          <w:ilvl w:val="0"/>
          <w:numId w:val="35"/>
        </w:numPr>
        <w:ind w:firstLineChars="0"/>
        <w:rPr>
          <w:rFonts w:hint="eastAsia"/>
          <w:i w:val="0"/>
          <w:iCs w:val="0"/>
          <w:color w:val="auto"/>
          <w:sz w:val="21"/>
          <w:szCs w:val="15"/>
          <w:highlight w:val="none"/>
        </w:rPr>
      </w:pPr>
      <w:r>
        <w:rPr>
          <w:rFonts w:hint="eastAsia"/>
          <w:i w:val="0"/>
          <w:iCs w:val="0"/>
          <w:color w:val="auto"/>
          <w:sz w:val="21"/>
          <w:szCs w:val="15"/>
          <w:highlight w:val="none"/>
        </w:rPr>
        <w:t>投标人应保证软件有足够的产品支持计划。</w:t>
      </w:r>
    </w:p>
    <w:p w14:paraId="0829F27B">
      <w:pPr>
        <w:pStyle w:val="142"/>
        <w:numPr>
          <w:ilvl w:val="0"/>
          <w:numId w:val="35"/>
        </w:numPr>
        <w:ind w:firstLineChars="0"/>
        <w:rPr>
          <w:rFonts w:hint="eastAsia"/>
          <w:i w:val="0"/>
          <w:iCs w:val="0"/>
          <w:color w:val="auto"/>
          <w:sz w:val="21"/>
          <w:szCs w:val="15"/>
          <w:highlight w:val="none"/>
        </w:rPr>
      </w:pPr>
      <w:r>
        <w:rPr>
          <w:rFonts w:hint="eastAsia"/>
          <w:i w:val="0"/>
          <w:iCs w:val="0"/>
          <w:color w:val="auto"/>
          <w:sz w:val="21"/>
          <w:szCs w:val="15"/>
          <w:highlight w:val="none"/>
        </w:rPr>
        <w:t>投标人所</w:t>
      </w:r>
      <w:r>
        <w:rPr>
          <w:rFonts w:hint="eastAsia"/>
          <w:i w:val="0"/>
          <w:iCs w:val="0"/>
          <w:color w:val="auto"/>
          <w:sz w:val="21"/>
          <w:szCs w:val="15"/>
          <w:highlight w:val="none"/>
          <w:lang w:val="en-US" w:eastAsia="zh-CN"/>
        </w:rPr>
        <w:t>提供</w:t>
      </w:r>
      <w:r>
        <w:rPr>
          <w:rFonts w:hint="eastAsia"/>
          <w:i w:val="0"/>
          <w:iCs w:val="0"/>
          <w:color w:val="auto"/>
          <w:sz w:val="21"/>
          <w:szCs w:val="15"/>
          <w:highlight w:val="none"/>
        </w:rPr>
        <w:t>第三方软件须为正版且已获得合法授权，须提供软件厂商出具的正版证明文件或有效授权证书复印件（加盖厂商或投标人公章）。若因软件版权问题引发纠纷，由投标人承担全部责任，招标人保留追究相关责任的权利。</w:t>
      </w:r>
    </w:p>
    <w:p w14:paraId="234F9C9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投标人应在投标阶段提供以上资料供招标人审核。</w:t>
      </w:r>
    </w:p>
    <w:p w14:paraId="234F9C9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如在后期的测试及验收中，发现软件未能完全满足系统相关的软件需求时，投标人应承担全部责任，对未获通过测试的软件部分修改或替换。</w:t>
      </w:r>
    </w:p>
    <w:p w14:paraId="234F9C9B">
      <w:pPr>
        <w:pStyle w:val="7"/>
        <w:ind w:left="0"/>
        <w:rPr>
          <w:i w:val="0"/>
          <w:iCs w:val="0"/>
          <w:color w:val="auto"/>
          <w:sz w:val="21"/>
          <w:szCs w:val="21"/>
          <w:highlight w:val="none"/>
        </w:rPr>
      </w:pPr>
      <w:r>
        <w:rPr>
          <w:rFonts w:hint="eastAsia"/>
          <w:i w:val="0"/>
          <w:iCs w:val="0"/>
          <w:color w:val="auto"/>
          <w:sz w:val="21"/>
          <w:szCs w:val="21"/>
          <w:highlight w:val="none"/>
        </w:rPr>
        <w:t>由投标人自行开发软件或投标人进行二次开发软件</w:t>
      </w:r>
    </w:p>
    <w:p w14:paraId="234F9C9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投标人应提交软件设计说明书供招标人审核。其内容包括(但不限于)以下：</w:t>
      </w:r>
    </w:p>
    <w:p w14:paraId="234F9C9D">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系统/子系统设计：说明软件系统中各个层次、模块的设计考虑；</w:t>
      </w:r>
    </w:p>
    <w:p w14:paraId="234F9C9E">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程序设计：说明每程序、每模块或子程序的设计考虑，内容应包括各程序的描述、功能、性能、输入和输出、流程逻辑、接口、存储分配、限制条件等；</w:t>
      </w:r>
    </w:p>
    <w:p w14:paraId="234F9C9F">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数据库设计：说明设计中的数据库所有标识、逻辑结构和物理结构。内容须包括外部设计的标识状态、使用程序、支持软件、数据库的概念、逻辑与物理结构、数据字典及安全保密设计等；</w:t>
      </w:r>
    </w:p>
    <w:p w14:paraId="234F9CA0">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接口设计：说明软件系统中与其它系统的软件设计考虑，内容包括向用户提供的命令与人机接口设计和软件回答信息。接口设计亦须说明本系统同外界的所有接口，包括软件之间、与硬件之间的协调及协议。</w:t>
      </w:r>
    </w:p>
    <w:p w14:paraId="234F9CA1">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如投标人对系统进行软件(二次)开发时，须遵守以下守则：</w:t>
      </w:r>
    </w:p>
    <w:p w14:paraId="234F9CA2">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投标人应定期进行检查，检查编程是否符合编码和程序规则要求；投标人应提供资料供招标人审核；</w:t>
      </w:r>
    </w:p>
    <w:p w14:paraId="234F9CA3">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投标人应严格执行配置管理，投标人在实施软件所有的变更前必须评估软件变更的潜在的安全后果，并提供资料供招标人审核。投标人在评估软件变更时应同时保证软件的变更与硬件配置能良好配合，实现应有的功能；</w:t>
      </w:r>
    </w:p>
    <w:p w14:paraId="234F9CA4">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投标人应在编码中对程序内的参数定义加以注释；并参照文档的要求对其合理性给予解释；</w:t>
      </w:r>
    </w:p>
    <w:p w14:paraId="234F9CA5">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投标人应必须删除程序中无用编码(即在任何情况都不会执行的编码)；</w:t>
      </w:r>
    </w:p>
    <w:p w14:paraId="234F9CA6">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投标人应确保所有参数和变数的名称定义须一致；</w:t>
      </w:r>
    </w:p>
    <w:p w14:paraId="234F9CA7">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投标人应在全局定义模块间的常用及常调参数，以便以后调试工作；</w:t>
      </w:r>
    </w:p>
    <w:p w14:paraId="234F9CA8">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投标人应禁止对程序进行“自行修补”，所有软件变更都必须采用源语言；在进行测试前，应先进行编译。</w:t>
      </w:r>
    </w:p>
    <w:p w14:paraId="234F9CA9">
      <w:pPr>
        <w:pStyle w:val="7"/>
        <w:ind w:left="0"/>
        <w:rPr>
          <w:i w:val="0"/>
          <w:iCs w:val="0"/>
          <w:color w:val="auto"/>
          <w:sz w:val="21"/>
          <w:szCs w:val="21"/>
          <w:highlight w:val="none"/>
        </w:rPr>
      </w:pPr>
      <w:r>
        <w:rPr>
          <w:rFonts w:hint="eastAsia"/>
          <w:i w:val="0"/>
          <w:iCs w:val="0"/>
          <w:color w:val="auto"/>
          <w:sz w:val="21"/>
          <w:szCs w:val="21"/>
          <w:highlight w:val="none"/>
        </w:rPr>
        <w:t>人机界面的设计</w:t>
      </w:r>
    </w:p>
    <w:p w14:paraId="234F9CA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人机界面是系统和用户之间进行交互和信息交换的媒介，友好的人机界面直接影响系统本身功能的体现及运营的效率。因此，如本合同中含投标人提供的人机界面的设计时，投标人应向招标人提供一个符合人机工程学，即具标准化、高协调性、操作效率高、资料显示清晰、使用简单及容易掌握、语义一致、操作舒适、快速反应、界面色彩美观、醒目及具时代感的人机界面供使用。</w:t>
      </w:r>
    </w:p>
    <w:p w14:paraId="234F9CAB">
      <w:pPr>
        <w:pStyle w:val="142"/>
        <w:ind w:firstLine="420"/>
        <w:rPr>
          <w:i w:val="0"/>
          <w:iCs w:val="0"/>
          <w:color w:val="auto"/>
          <w:sz w:val="21"/>
          <w:szCs w:val="15"/>
          <w:highlight w:val="none"/>
        </w:rPr>
      </w:pPr>
      <w:r>
        <w:rPr>
          <w:rFonts w:hint="eastAsia"/>
          <w:i w:val="0"/>
          <w:iCs w:val="0"/>
          <w:color w:val="auto"/>
          <w:sz w:val="21"/>
          <w:szCs w:val="15"/>
          <w:highlight w:val="none"/>
        </w:rPr>
        <w:t>投标人在设计人机界面过程中应至少能达到以下设计要求:</w:t>
      </w:r>
    </w:p>
    <w:p w14:paraId="234F9CAC">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在同一人机界面中，所有的菜单选择、命令输入、数据显示和其它功能应保持风格一致性；</w:t>
      </w:r>
    </w:p>
    <w:p w14:paraId="234F9CAD">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对所有可能造成损害的动作，坚持要求操作员确认系统/子系统后才执行有关指令；</w:t>
      </w:r>
    </w:p>
    <w:p w14:paraId="234F9CAE">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人机界面应能对用户的决定做出及时的响应，提高对话、移动和思考的效率，最大可能的减少击键次数，缩短鼠标移动距离，减少菜单弹出层次避免使操作员产生无所适从的感觉；</w:t>
      </w:r>
    </w:p>
    <w:p w14:paraId="234F9CAF">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人机界面应该提供简单的求助系统，让操作员及时获得帮助，尽量用简单的动词和动词短语提示命令；</w:t>
      </w:r>
    </w:p>
    <w:p w14:paraId="234F9CB0">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合理划分并高效使用显示屏。显示画面仅显示与上下文有关的信息，利用窗口分隔不同种类的信息；</w:t>
      </w:r>
    </w:p>
    <w:p w14:paraId="234F9CB1">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保证信息显示方式与数据输入方式的协调一致，尽量减少用户输入的动作，隐藏当前状态下不可选用的命令；</w:t>
      </w:r>
    </w:p>
    <w:p w14:paraId="234F9CB2">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若系统需要较长的反应时间，人机界面应对操作者提供合适的提示，避免操作者误会而重发命令；</w:t>
      </w:r>
    </w:p>
    <w:p w14:paraId="234F9CB3">
      <w:pPr>
        <w:pStyle w:val="142"/>
        <w:numPr>
          <w:ilvl w:val="0"/>
          <w:numId w:val="35"/>
        </w:numPr>
        <w:ind w:firstLineChars="0"/>
        <w:rPr>
          <w:i w:val="0"/>
          <w:iCs w:val="0"/>
          <w:color w:val="auto"/>
          <w:sz w:val="21"/>
          <w:szCs w:val="15"/>
          <w:highlight w:val="none"/>
        </w:rPr>
      </w:pPr>
      <w:r>
        <w:rPr>
          <w:rFonts w:hint="eastAsia"/>
          <w:i w:val="0"/>
          <w:iCs w:val="0"/>
          <w:color w:val="auto"/>
          <w:sz w:val="21"/>
          <w:szCs w:val="15"/>
          <w:highlight w:val="none"/>
        </w:rPr>
        <w:t>人机界面采用有经招标人同意的色彩设计、菜单界面设计、数据输出输入设计、帮助及出错界面设计、警报方式、显示字母符号、图标语法等显示方式的标准。</w:t>
      </w:r>
    </w:p>
    <w:p w14:paraId="234F9CB4">
      <w:pPr>
        <w:pStyle w:val="142"/>
        <w:ind w:firstLine="420"/>
        <w:rPr>
          <w:i w:val="0"/>
          <w:iCs w:val="0"/>
          <w:color w:val="auto"/>
          <w:sz w:val="21"/>
          <w:szCs w:val="15"/>
          <w:highlight w:val="none"/>
        </w:rPr>
      </w:pPr>
      <w:r>
        <w:rPr>
          <w:rFonts w:hint="eastAsia"/>
          <w:i w:val="0"/>
          <w:iCs w:val="0"/>
          <w:color w:val="auto"/>
          <w:sz w:val="21"/>
          <w:szCs w:val="15"/>
          <w:highlight w:val="none"/>
        </w:rPr>
        <w:t>投标人设计及编制所有人机界面时，应先与招标人沟通运营操作需求，再向招标人提供以上标准及界面模板供招标人核准并按其意见进行修改，确保最终人机界面能满足招标人运营操作需求。</w:t>
      </w:r>
    </w:p>
    <w:p w14:paraId="234F9CB5">
      <w:pPr>
        <w:pStyle w:val="6"/>
        <w:ind w:left="0"/>
        <w:rPr>
          <w:i w:val="0"/>
          <w:iCs w:val="0"/>
          <w:color w:val="auto"/>
          <w:sz w:val="22"/>
          <w:szCs w:val="22"/>
          <w:highlight w:val="none"/>
        </w:rPr>
      </w:pPr>
      <w:bookmarkStart w:id="319" w:name="_Toc93674795"/>
      <w:bookmarkStart w:id="320" w:name="_Toc29703"/>
      <w:r>
        <w:rPr>
          <w:rFonts w:hint="eastAsia"/>
          <w:i w:val="0"/>
          <w:iCs w:val="0"/>
          <w:color w:val="auto"/>
          <w:sz w:val="22"/>
          <w:szCs w:val="22"/>
          <w:highlight w:val="none"/>
        </w:rPr>
        <w:t>软件安装，测试及验收</w:t>
      </w:r>
      <w:bookmarkEnd w:id="319"/>
      <w:bookmarkEnd w:id="320"/>
    </w:p>
    <w:p w14:paraId="234F9CB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投标人应对提供的软件进行软件测试，即按照规定步骤，对软件进行严格的检查，以证明软件已达到规定的要求，能够在现场安装、进行验收、交付招标人和连接其它接口系统使用。</w:t>
      </w:r>
    </w:p>
    <w:p w14:paraId="234F9CB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提供的软件功能测试包括但不限于：系统工厂验收测试及现场验收测试。投标人应在工厂验收测试及现场验收测试中对所有软件功能进行测试，并在有关验收报告记录测试结果供招标人审核。在工厂验收测试时，如部分功能测试无法在工厂或仿真环境下进行，经招标人同意下，投标人才可把该功能测试延至在现场验收测试中。投标人处理在工厂验收测试中确认的错误，经招标人确认后，才可将软件到现场安装并进行现场验收测试。</w:t>
      </w:r>
    </w:p>
    <w:p w14:paraId="234F9CB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投标人应对所有进行验收测试的软件建立基线。投标人应准确地在软件配置管理中记录所有变改的软件作版本控制。</w:t>
      </w:r>
    </w:p>
    <w:p w14:paraId="234F9CB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由于软件的一般功能可能须与其它系统配合才能表现出来，经招标人同意下，投标人才可将部分不能单独实现功能的软件功能需求测试项目包括在后期系统整体功能测试或与其它系统的接口测试中。除了同时测试硬件软件配合实现功能的整体系统验收外，投标人亦须对个别软件独有用户需求，例如软件系统维护性、边界测试、强度测试、软件系统保留余度等，制定软件测试验收文件，进行测试后供招标人审核。</w:t>
      </w:r>
    </w:p>
    <w:p w14:paraId="234F9CB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所有安装的软件须无病毒及有合法使用许可证。所有软件的工厂验收测试及现场验收测试中，须包括软件在系统内的持久性、加载性和故障处理测试。</w:t>
      </w:r>
    </w:p>
    <w:p w14:paraId="234F9CBB">
      <w:pPr>
        <w:pStyle w:val="6"/>
        <w:ind w:left="0"/>
        <w:rPr>
          <w:i w:val="0"/>
          <w:iCs w:val="0"/>
          <w:color w:val="auto"/>
          <w:sz w:val="22"/>
          <w:szCs w:val="22"/>
          <w:highlight w:val="none"/>
        </w:rPr>
      </w:pPr>
      <w:bookmarkStart w:id="321" w:name="_Toc93674796"/>
      <w:bookmarkStart w:id="322" w:name="_Toc14440"/>
      <w:r>
        <w:rPr>
          <w:rFonts w:hint="eastAsia"/>
          <w:i w:val="0"/>
          <w:iCs w:val="0"/>
          <w:color w:val="auto"/>
          <w:sz w:val="22"/>
          <w:szCs w:val="22"/>
          <w:highlight w:val="none"/>
        </w:rPr>
        <w:t>软件项目功能验收</w:t>
      </w:r>
      <w:bookmarkEnd w:id="321"/>
      <w:bookmarkEnd w:id="322"/>
    </w:p>
    <w:p w14:paraId="234F9CB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对本项目提供的软件实现相应功能进行制定软件功能验收方案，对本项目各系统软件功能进行逐一严格检验，以证明软件功能满足招标文件及用户使用需求。投标人应提前向招标人提交软件项目验收报告文件，由招标人审核后确认无误后方可进行验收工作。具体验收细则可在设计联络阶段由招标人牵头组织各方共同确认。</w:t>
      </w:r>
    </w:p>
    <w:p w14:paraId="4FEA4F3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所有软件须按招标人要求进行系统风险测评，包括但不限于：漏洞扫描、渗透测试；当无法通过系统风险测评时，投标人须无条件完成风险整改直至通过测试。</w:t>
      </w:r>
    </w:p>
    <w:p w14:paraId="234F9CBD">
      <w:pPr>
        <w:pStyle w:val="6"/>
        <w:ind w:left="0"/>
        <w:rPr>
          <w:i w:val="0"/>
          <w:iCs w:val="0"/>
          <w:color w:val="auto"/>
          <w:sz w:val="22"/>
          <w:szCs w:val="22"/>
          <w:highlight w:val="none"/>
        </w:rPr>
      </w:pPr>
      <w:bookmarkStart w:id="323" w:name="_Toc93674797"/>
      <w:bookmarkStart w:id="324" w:name="_Toc15608"/>
      <w:r>
        <w:rPr>
          <w:rFonts w:hint="eastAsia"/>
          <w:i w:val="0"/>
          <w:iCs w:val="0"/>
          <w:color w:val="auto"/>
          <w:sz w:val="22"/>
          <w:szCs w:val="22"/>
          <w:highlight w:val="none"/>
        </w:rPr>
        <w:t>软件交付</w:t>
      </w:r>
      <w:r>
        <w:rPr>
          <w:rFonts w:hint="eastAsia"/>
          <w:i w:val="0"/>
          <w:iCs w:val="0"/>
          <w:color w:val="auto"/>
          <w:sz w:val="22"/>
          <w:szCs w:val="22"/>
          <w:highlight w:val="none"/>
          <w:lang w:eastAsia="zh-CN"/>
        </w:rPr>
        <w:t>、</w:t>
      </w:r>
      <w:r>
        <w:rPr>
          <w:rFonts w:hint="eastAsia"/>
          <w:i w:val="0"/>
          <w:iCs w:val="0"/>
          <w:color w:val="auto"/>
          <w:sz w:val="22"/>
          <w:szCs w:val="22"/>
          <w:highlight w:val="none"/>
        </w:rPr>
        <w:t>运行和维护</w:t>
      </w:r>
      <w:bookmarkEnd w:id="323"/>
      <w:bookmarkEnd w:id="324"/>
    </w:p>
    <w:p w14:paraId="234F9CB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安装在系统中的软件均属招标人所有。投标人应确定在软件安装时均用招标人名称注册或登记。在交付过程中，投标人须交付系统中所有软件（包括固件、共享及免费软件）的商业使用证书、许可证以及软件安装程序。投标人须按招标人要求更改所有系统密码及交付所有与现场安装软件版本相符的程序安装版。若投标人在软件安装交付后再更改软件、更新数据库或软件配置时，投标人应先获招标人批准后才能进行，并再交付最新的软件安装版。投标人所提供软件需为永久授权版本，不得因质保期限、维保期限等影响软件的功能实现。</w:t>
      </w:r>
    </w:p>
    <w:p w14:paraId="234F9CB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系统操作手册中包括所有软件安装与初始化方法、数据结构及设定、运行步骤、使用说明、故障处理说明及维护步骤。如软件或数据库有可扩展性要求，投标人所提供的系统操作手册中须包括相关的扩展步骤。</w:t>
      </w:r>
    </w:p>
    <w:p w14:paraId="234F9CC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负责对运行和维护期间发现的功能和非功能问题进行纠正。投标人应先获招标人批准后隔离有问题的软件部件，使系统能恢复最大功能供继续运作，并同时尽快排错，以达所需的可用性要求。投标人应遵守软件配置管理要求进行所有软件修改及版本控制。投标人应在获招标人同意下，在不影响日常运行情况才可安装新的软件。</w:t>
      </w:r>
    </w:p>
    <w:p w14:paraId="234F9CC1">
      <w:pPr>
        <w:pStyle w:val="3"/>
        <w:rPr>
          <w:i w:val="0"/>
          <w:iCs w:val="0"/>
          <w:color w:val="auto"/>
          <w:sz w:val="24"/>
          <w:szCs w:val="32"/>
          <w:highlight w:val="none"/>
        </w:rPr>
      </w:pPr>
      <w:bookmarkStart w:id="325" w:name="_Toc4576"/>
      <w:r>
        <w:rPr>
          <w:rFonts w:hint="eastAsia"/>
          <w:i w:val="0"/>
          <w:iCs w:val="0"/>
          <w:color w:val="auto"/>
          <w:sz w:val="24"/>
          <w:szCs w:val="32"/>
          <w:highlight w:val="none"/>
        </w:rPr>
        <w:t>技术文件及图纸</w:t>
      </w:r>
      <w:bookmarkEnd w:id="325"/>
      <w:r>
        <w:rPr>
          <w:rFonts w:hint="eastAsia" w:ascii="Times New Roman" w:hAnsi="Times New Roman" w:cs="Times New Roman"/>
          <w:i w:val="0"/>
          <w:iCs w:val="0"/>
          <w:color w:val="auto"/>
          <w:sz w:val="24"/>
          <w:szCs w:val="32"/>
          <w:highlight w:val="none"/>
        </w:rPr>
        <w:t>★</w:t>
      </w:r>
    </w:p>
    <w:p w14:paraId="234F9CC2">
      <w:pPr>
        <w:pStyle w:val="4"/>
        <w:rPr>
          <w:i w:val="0"/>
          <w:iCs w:val="0"/>
          <w:color w:val="auto"/>
          <w:sz w:val="24"/>
          <w:szCs w:val="21"/>
          <w:highlight w:val="none"/>
        </w:rPr>
      </w:pPr>
      <w:bookmarkStart w:id="326" w:name="_Toc93674799"/>
      <w:bookmarkStart w:id="327" w:name="_Toc216637926"/>
      <w:bookmarkStart w:id="328" w:name="_Toc85528770"/>
      <w:bookmarkStart w:id="329" w:name="_Toc9292"/>
      <w:r>
        <w:rPr>
          <w:rFonts w:hint="eastAsia"/>
          <w:i w:val="0"/>
          <w:iCs w:val="0"/>
          <w:color w:val="auto"/>
          <w:sz w:val="24"/>
          <w:szCs w:val="21"/>
          <w:highlight w:val="none"/>
        </w:rPr>
        <w:t>一般要求</w:t>
      </w:r>
      <w:bookmarkEnd w:id="326"/>
      <w:bookmarkEnd w:id="327"/>
      <w:bookmarkEnd w:id="328"/>
      <w:bookmarkEnd w:id="329"/>
    </w:p>
    <w:p w14:paraId="234F9CC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投标人应在合同执行过程中设专人对项目全过程的技术文件及图纸资料等进行管理并完成相关的归档及移交工作。</w:t>
      </w:r>
    </w:p>
    <w:p w14:paraId="234F9CC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（1）投标人应向招标人提供全套的技术文件，包括但不限于以下内容：</w:t>
      </w:r>
    </w:p>
    <w:p w14:paraId="234F9CC5">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系统文件</w:t>
      </w:r>
    </w:p>
    <w:p w14:paraId="234F9CC6">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技术建议书</w:t>
      </w:r>
    </w:p>
    <w:p w14:paraId="234F9CC7">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设计联络计划文件</w:t>
      </w:r>
    </w:p>
    <w:p w14:paraId="234F9CC8">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硬件设备技术文件</w:t>
      </w:r>
    </w:p>
    <w:p w14:paraId="234F9CC9">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软件系统技术文件</w:t>
      </w:r>
    </w:p>
    <w:p w14:paraId="234F9CCA">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产品设计的图纸、资料</w:t>
      </w:r>
    </w:p>
    <w:p w14:paraId="234F9CCB">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各阶段各项测试检验规范书和测试检验报告</w:t>
      </w:r>
    </w:p>
    <w:p w14:paraId="234F9CCC">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工程安装设计图、资料</w:t>
      </w:r>
    </w:p>
    <w:p w14:paraId="234F9CCD">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安装验收规范书</w:t>
      </w:r>
    </w:p>
    <w:p w14:paraId="234F9CCE">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安装手册</w:t>
      </w:r>
    </w:p>
    <w:p w14:paraId="234F9CCF">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操作手册</w:t>
      </w:r>
    </w:p>
    <w:p w14:paraId="234F9CD0">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用于维护</w:t>
      </w:r>
      <w:r>
        <w:rPr>
          <w:rFonts w:hint="eastAsia"/>
          <w:i w:val="0"/>
          <w:iCs w:val="0"/>
          <w:color w:val="auto"/>
          <w:sz w:val="21"/>
          <w:szCs w:val="15"/>
          <w:highlight w:val="none"/>
          <w:lang w:eastAsia="zh-CN"/>
        </w:rPr>
        <w:t>、</w:t>
      </w:r>
      <w:r>
        <w:rPr>
          <w:rFonts w:hint="eastAsia"/>
          <w:i w:val="0"/>
          <w:iCs w:val="0"/>
          <w:color w:val="auto"/>
          <w:sz w:val="21"/>
          <w:szCs w:val="15"/>
          <w:highlight w:val="none"/>
          <w:lang w:val="en-US" w:eastAsia="zh-CN"/>
        </w:rPr>
        <w:t>培训</w:t>
      </w:r>
      <w:r>
        <w:rPr>
          <w:rFonts w:hint="eastAsia"/>
          <w:i w:val="0"/>
          <w:iCs w:val="0"/>
          <w:color w:val="auto"/>
          <w:sz w:val="21"/>
          <w:szCs w:val="15"/>
          <w:highlight w:val="none"/>
        </w:rPr>
        <w:t>的图纸、资料、手册</w:t>
      </w:r>
    </w:p>
    <w:p w14:paraId="234F9CD2">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竣工图</w:t>
      </w:r>
    </w:p>
    <w:p w14:paraId="234F9CD3">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最终的技术文件</w:t>
      </w:r>
    </w:p>
    <w:p w14:paraId="234F9CD4">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按照招标人规定的格式和要求提交本工程所有设备（含材料等）清单（含可修改电子文件）。</w:t>
      </w:r>
    </w:p>
    <w:p w14:paraId="234F9CD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2）所提供的技术文件，其内容必须与所提供的设备相一致，在招标人和投标人双方商定的某一时期内由于软硬件的修改而导致文件的任何修改，投标人均应提供修改更正或补充的印刷文件或光盘，数量由招标人确定，其内容应包括：</w:t>
      </w:r>
    </w:p>
    <w:p w14:paraId="234F9CD6">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修改内容</w:t>
      </w:r>
    </w:p>
    <w:p w14:paraId="234F9CD7">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修改理由</w:t>
      </w:r>
    </w:p>
    <w:p w14:paraId="234F9CD8">
      <w:pPr>
        <w:pStyle w:val="142"/>
        <w:numPr>
          <w:ilvl w:val="0"/>
          <w:numId w:val="36"/>
        </w:numPr>
        <w:ind w:firstLineChars="0"/>
        <w:rPr>
          <w:i w:val="0"/>
          <w:iCs w:val="0"/>
          <w:color w:val="auto"/>
          <w:sz w:val="21"/>
          <w:szCs w:val="15"/>
          <w:highlight w:val="none"/>
        </w:rPr>
      </w:pPr>
      <w:r>
        <w:rPr>
          <w:rFonts w:hint="eastAsia"/>
          <w:i w:val="0"/>
          <w:iCs w:val="0"/>
          <w:color w:val="auto"/>
          <w:sz w:val="21"/>
          <w:szCs w:val="15"/>
          <w:highlight w:val="none"/>
        </w:rPr>
        <w:t>设备可受到的影响</w:t>
      </w:r>
    </w:p>
    <w:p w14:paraId="234F9CD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软件每作一次修改，都应将该程序老版本及新版本的软件文件的清单、流程图及说明交于招标人，并说明原因。</w:t>
      </w:r>
    </w:p>
    <w:p w14:paraId="234F9CD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3）投标人向招标人提供的图纸、手册和技术资料应充分、广泛和详细地说明各个系统及其部件的性能、原理、结构和尺寸以及部件的型号、规格和技术参数，使招标人能够实现对系统的操作、检查、修理、试验、调整和维护。</w:t>
      </w:r>
    </w:p>
    <w:p w14:paraId="234F9CD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（4）所有文件都应表示出项目名称、投标人名称、招标人名称、日期和版本索引。图纸除应表示出标题、序号和比例，还应在图框旁留10-50mm的空白区，供招标人使用。</w:t>
      </w:r>
    </w:p>
    <w:p w14:paraId="234F9CD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（5）图纸上日期中的月份应采用数字，例如2024/11/30（2024年11月30日）。版本号应为1，2，（从第一次发布开始），并注明版本变更的内容和原因。</w:t>
      </w:r>
    </w:p>
    <w:p w14:paraId="234F9CD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（6）所有技术资料、图纸和手册都应字迹清楚，内容完整，采用国际单位制（SI）单位、通用图形和符号。产品在国内生产的，应使用中文；产品由国外设备商在国外生产的，应使用中文和英文。</w:t>
      </w:r>
    </w:p>
    <w:p w14:paraId="234F9CD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（7）图纸、手册和技术文件在设备设计和制造过程中有更新时，投标人应及时向招标人提供新的更新文件。</w:t>
      </w:r>
    </w:p>
    <w:p w14:paraId="234F9CD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（8）手册和技术资料应采用活页式。投标人应保证所有的图纸、手册和技术资料的格式与招标人的要求相一致。</w:t>
      </w:r>
    </w:p>
    <w:p w14:paraId="234F9CE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（9）所有技术文件除另有规定外应提供印刷文件按一式10份（必须是原件，而不是复制件）提交。尽管如此，为了将来文件和/或图纸的复制，所有文件都应提交10套电子文件（光盘）。电子文件应用Microsoft office 2010 for windows（或以上版本）的形式提交。图形、电路图和机械图等还应提供合适软件平台，如autocad 2010 for windows （或以上版本）等。</w:t>
      </w:r>
    </w:p>
    <w:p w14:paraId="234F9CE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（10）投标人的图纸应提供给有权使用图纸的招标人，而招标人只能将其用于本工程的完成、操作、维护、调整和维修。</w:t>
      </w:r>
    </w:p>
    <w:p w14:paraId="234F9CE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（11）投标人在投标书中要有技术文件的建议书，包括提交技术文件清单、提交的时间。具体细节在在合同谈判中确定。</w:t>
      </w:r>
    </w:p>
    <w:p w14:paraId="234F9CE3">
      <w:pPr>
        <w:pStyle w:val="4"/>
        <w:rPr>
          <w:i w:val="0"/>
          <w:iCs w:val="0"/>
          <w:color w:val="auto"/>
          <w:sz w:val="24"/>
          <w:szCs w:val="21"/>
          <w:highlight w:val="none"/>
        </w:rPr>
      </w:pPr>
      <w:bookmarkStart w:id="330" w:name="_Toc216637927"/>
      <w:bookmarkStart w:id="331" w:name="_Toc20174"/>
      <w:bookmarkStart w:id="332" w:name="_Toc85528771"/>
      <w:bookmarkStart w:id="333" w:name="_Toc93674800"/>
      <w:r>
        <w:rPr>
          <w:rFonts w:hint="eastAsia"/>
          <w:i w:val="0"/>
          <w:iCs w:val="0"/>
          <w:color w:val="auto"/>
          <w:sz w:val="24"/>
          <w:szCs w:val="21"/>
          <w:highlight w:val="none"/>
        </w:rPr>
        <w:t>图纸、手册和技术文件的确认</w:t>
      </w:r>
      <w:bookmarkEnd w:id="330"/>
      <w:bookmarkEnd w:id="331"/>
      <w:bookmarkEnd w:id="332"/>
      <w:bookmarkEnd w:id="333"/>
    </w:p>
    <w:p w14:paraId="234F9CE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（1）投标人使用和提供的图纸、手册和技术文件必须经过招标人的确认。招标人的确认并不减轻投标人的任何责任。</w:t>
      </w:r>
    </w:p>
    <w:p w14:paraId="234F9CE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（2）如果图纸、手册和技术文件经过了确认，投标人未经招标人同意不按图生产，招标人有权拒绝接受产品。</w:t>
      </w:r>
    </w:p>
    <w:p w14:paraId="234F9CE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3）图纸、手册和技术文件在设计联络中确认。培训教材资料在培训实施前30天交招标人确认，除非另有规定，投标人向招标人提交5份技术文件确认，当投标人、招标人加批注重新确认时，投标人应连同批准的共提交10份给招标人。</w:t>
      </w:r>
    </w:p>
    <w:p w14:paraId="234F9CE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（4）一旦招标人完成最终确认，投标人就应提供招标人10份完整的装订好的手册和10套完整的复制时使用的电子文件。</w:t>
      </w:r>
    </w:p>
    <w:p w14:paraId="234F9CE8">
      <w:pPr>
        <w:pStyle w:val="4"/>
        <w:rPr>
          <w:i w:val="0"/>
          <w:iCs w:val="0"/>
          <w:color w:val="auto"/>
          <w:sz w:val="24"/>
          <w:szCs w:val="21"/>
          <w:highlight w:val="none"/>
        </w:rPr>
      </w:pPr>
      <w:bookmarkStart w:id="334" w:name="_Toc216637928"/>
      <w:bookmarkStart w:id="335" w:name="_Toc85528772"/>
      <w:bookmarkStart w:id="336" w:name="_Toc93674801"/>
      <w:bookmarkStart w:id="337" w:name="_Toc10855"/>
      <w:r>
        <w:rPr>
          <w:rFonts w:hint="eastAsia"/>
          <w:i w:val="0"/>
          <w:iCs w:val="0"/>
          <w:color w:val="auto"/>
          <w:sz w:val="24"/>
          <w:szCs w:val="21"/>
          <w:highlight w:val="none"/>
        </w:rPr>
        <w:t>产品、系统设计图</w:t>
      </w:r>
      <w:bookmarkEnd w:id="334"/>
      <w:bookmarkEnd w:id="335"/>
      <w:bookmarkEnd w:id="336"/>
      <w:bookmarkEnd w:id="337"/>
    </w:p>
    <w:p w14:paraId="234F9CE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（1）投标人应提供的产品、系统设计包括所需的图纸和技术说明、可靠性计算、与各相关设备的接口标准、协议、形式。</w:t>
      </w:r>
    </w:p>
    <w:p w14:paraId="234F9CEA">
      <w:pPr>
        <w:pStyle w:val="142"/>
        <w:ind w:firstLine="420"/>
        <w:rPr>
          <w:i w:val="0"/>
          <w:iCs w:val="0"/>
          <w:color w:val="auto"/>
          <w:sz w:val="21"/>
          <w:szCs w:val="15"/>
          <w:highlight w:val="none"/>
        </w:rPr>
      </w:pPr>
      <w:r>
        <w:rPr>
          <w:rFonts w:hint="eastAsia"/>
          <w:i w:val="0"/>
          <w:iCs w:val="0"/>
          <w:color w:val="auto"/>
          <w:sz w:val="21"/>
          <w:szCs w:val="15"/>
          <w:highlight w:val="none"/>
          <w:lang w:val="en-US" w:eastAsia="zh-CN"/>
        </w:rPr>
        <w:t>（2）对于所有电子设备，必须提供电路板的原理方块图、电路图、元件布置图和明细表等。资料应能满足招标人测试，查找到电路板上故障件和故障点，以相应规格的元件更换的要求。</w:t>
      </w:r>
    </w:p>
    <w:p w14:paraId="234F9CE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（3）图纸应符合制造商的国家标准，经过标准化审查，审查人员必须签字。</w:t>
      </w:r>
    </w:p>
    <w:p w14:paraId="234F9CE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图纸的完整性要求图纸必须包括但不限于：</w:t>
      </w:r>
    </w:p>
    <w:p w14:paraId="234F9CED">
      <w:pPr>
        <w:pStyle w:val="142"/>
        <w:numPr>
          <w:ilvl w:val="0"/>
          <w:numId w:val="37"/>
        </w:numPr>
        <w:ind w:firstLineChars="0"/>
        <w:rPr>
          <w:i w:val="0"/>
          <w:iCs w:val="0"/>
          <w:color w:val="auto"/>
          <w:sz w:val="21"/>
          <w:szCs w:val="15"/>
          <w:highlight w:val="none"/>
        </w:rPr>
      </w:pPr>
      <w:r>
        <w:rPr>
          <w:rFonts w:hint="eastAsia"/>
          <w:i w:val="0"/>
          <w:iCs w:val="0"/>
          <w:color w:val="auto"/>
          <w:sz w:val="21"/>
          <w:szCs w:val="15"/>
          <w:highlight w:val="none"/>
        </w:rPr>
        <w:t>图样目录：</w:t>
      </w:r>
    </w:p>
    <w:p w14:paraId="234F9CEE">
      <w:pPr>
        <w:pStyle w:val="142"/>
        <w:numPr>
          <w:ilvl w:val="0"/>
          <w:numId w:val="37"/>
        </w:numPr>
        <w:ind w:firstLineChars="0"/>
        <w:rPr>
          <w:i w:val="0"/>
          <w:iCs w:val="0"/>
          <w:color w:val="auto"/>
          <w:sz w:val="21"/>
          <w:szCs w:val="15"/>
          <w:highlight w:val="none"/>
        </w:rPr>
      </w:pPr>
      <w:r>
        <w:rPr>
          <w:rFonts w:hint="eastAsia"/>
          <w:i w:val="0"/>
          <w:iCs w:val="0"/>
          <w:color w:val="auto"/>
          <w:sz w:val="21"/>
          <w:szCs w:val="15"/>
          <w:highlight w:val="none"/>
        </w:rPr>
        <w:t>系统原理图、电路图：</w:t>
      </w:r>
    </w:p>
    <w:p w14:paraId="234F9CEF">
      <w:pPr>
        <w:pStyle w:val="142"/>
        <w:numPr>
          <w:ilvl w:val="0"/>
          <w:numId w:val="37"/>
        </w:numPr>
        <w:ind w:firstLineChars="0"/>
        <w:rPr>
          <w:i w:val="0"/>
          <w:iCs w:val="0"/>
          <w:color w:val="auto"/>
          <w:sz w:val="21"/>
          <w:szCs w:val="15"/>
          <w:highlight w:val="none"/>
        </w:rPr>
      </w:pPr>
      <w:r>
        <w:rPr>
          <w:rFonts w:hint="eastAsia"/>
          <w:i w:val="0"/>
          <w:iCs w:val="0"/>
          <w:color w:val="auto"/>
          <w:sz w:val="21"/>
          <w:szCs w:val="15"/>
          <w:highlight w:val="none"/>
        </w:rPr>
        <w:t>主要部件的尺寸和安装图；</w:t>
      </w:r>
    </w:p>
    <w:p w14:paraId="234F9CF0">
      <w:pPr>
        <w:pStyle w:val="142"/>
        <w:numPr>
          <w:ilvl w:val="0"/>
          <w:numId w:val="37"/>
        </w:numPr>
        <w:ind w:firstLineChars="0"/>
        <w:rPr>
          <w:i w:val="0"/>
          <w:iCs w:val="0"/>
          <w:color w:val="auto"/>
          <w:sz w:val="21"/>
          <w:szCs w:val="15"/>
          <w:highlight w:val="none"/>
        </w:rPr>
      </w:pPr>
      <w:r>
        <w:rPr>
          <w:rFonts w:hint="eastAsia"/>
          <w:i w:val="0"/>
          <w:iCs w:val="0"/>
          <w:color w:val="auto"/>
          <w:sz w:val="21"/>
          <w:szCs w:val="15"/>
          <w:highlight w:val="none"/>
        </w:rPr>
        <w:t>元件布置图(印刷电路板)：</w:t>
      </w:r>
    </w:p>
    <w:p w14:paraId="234F9CF1">
      <w:pPr>
        <w:pStyle w:val="142"/>
        <w:numPr>
          <w:ilvl w:val="0"/>
          <w:numId w:val="37"/>
        </w:numPr>
        <w:ind w:firstLineChars="0"/>
        <w:rPr>
          <w:i w:val="0"/>
          <w:iCs w:val="0"/>
          <w:color w:val="auto"/>
          <w:sz w:val="21"/>
          <w:szCs w:val="15"/>
          <w:highlight w:val="none"/>
        </w:rPr>
      </w:pPr>
      <w:r>
        <w:rPr>
          <w:rFonts w:hint="eastAsia"/>
          <w:i w:val="0"/>
          <w:iCs w:val="0"/>
          <w:color w:val="auto"/>
          <w:sz w:val="21"/>
          <w:szCs w:val="15"/>
          <w:highlight w:val="none"/>
        </w:rPr>
        <w:t>明细表；</w:t>
      </w:r>
    </w:p>
    <w:p w14:paraId="234F9CF2">
      <w:pPr>
        <w:pStyle w:val="142"/>
        <w:numPr>
          <w:ilvl w:val="0"/>
          <w:numId w:val="37"/>
        </w:numPr>
        <w:ind w:firstLineChars="0"/>
        <w:rPr>
          <w:i w:val="0"/>
          <w:iCs w:val="0"/>
          <w:color w:val="auto"/>
          <w:sz w:val="21"/>
          <w:szCs w:val="15"/>
          <w:highlight w:val="none"/>
        </w:rPr>
      </w:pPr>
      <w:r>
        <w:rPr>
          <w:rFonts w:hint="eastAsia"/>
          <w:i w:val="0"/>
          <w:iCs w:val="0"/>
          <w:color w:val="auto"/>
          <w:sz w:val="21"/>
          <w:szCs w:val="15"/>
          <w:highlight w:val="none"/>
        </w:rPr>
        <w:t>汇总表等。</w:t>
      </w:r>
    </w:p>
    <w:p w14:paraId="234F9CF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（5）如果一张图纸的功能己在另一张图纸中完全实现，可不再单独提供。</w:t>
      </w:r>
    </w:p>
    <w:p w14:paraId="234F9CF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（6）为了使电气、电子电路图和其他图更为清晰易懂，所有信息都应出现在图上适当的地方。</w:t>
      </w:r>
    </w:p>
    <w:p w14:paraId="234F9CF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（7）综合电路图应由投标人装订成册，以保证电路图及其文字说明在版式、概念和总体布局的完全一致性。综合电路图必须具有所描述的系统的完整性、综合性及各系统之间的交叉参考性。</w:t>
      </w:r>
    </w:p>
    <w:p w14:paraId="234F9CF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（8）如果招标人认为图纸不能满足维修需要，招标人有权向投标人要求增加必要的图纸。</w:t>
      </w:r>
    </w:p>
    <w:p w14:paraId="234F9CF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（9）电路图和元件布置图上的元件应做出标注，且两者的标注应一致；明细表上应写明元件的规格编号，使招标人能按此规格编号向投标人或从市场上采购到相同的元件。</w:t>
      </w:r>
    </w:p>
    <w:p w14:paraId="234F9CF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（10）对于专门为各个系统设计、生产的产品，必须提供全部的图纸。</w:t>
      </w:r>
    </w:p>
    <w:p w14:paraId="234F9CF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（11）对于可以从市场上采购到的产品，必须提供产品说明书与合格证，说明书应能满足招标人的维护和采购的要求。</w:t>
      </w:r>
    </w:p>
    <w:p w14:paraId="234F9CFA">
      <w:pPr>
        <w:pStyle w:val="4"/>
        <w:rPr>
          <w:i w:val="0"/>
          <w:iCs w:val="0"/>
          <w:color w:val="auto"/>
          <w:sz w:val="24"/>
          <w:szCs w:val="21"/>
          <w:highlight w:val="none"/>
        </w:rPr>
      </w:pPr>
      <w:bookmarkStart w:id="338" w:name="_Toc17646"/>
      <w:bookmarkStart w:id="339" w:name="_Toc85528773"/>
      <w:bookmarkStart w:id="340" w:name="_Toc93674802"/>
      <w:bookmarkStart w:id="341" w:name="_Toc216637929"/>
      <w:r>
        <w:rPr>
          <w:rFonts w:hint="eastAsia"/>
          <w:i w:val="0"/>
          <w:iCs w:val="0"/>
          <w:color w:val="auto"/>
          <w:sz w:val="24"/>
          <w:szCs w:val="21"/>
          <w:highlight w:val="none"/>
        </w:rPr>
        <w:t>安装设计图、资料</w:t>
      </w:r>
      <w:bookmarkEnd w:id="338"/>
      <w:bookmarkEnd w:id="339"/>
      <w:bookmarkEnd w:id="340"/>
      <w:bookmarkEnd w:id="341"/>
    </w:p>
    <w:p w14:paraId="234F9CF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投标人要向招标人提供用于安装设计的安装设计图纸、资料，必须包括：图样目录；设备的尺寸和安装图；配线系统图；设备配线图；配电和接地图；技术资料。</w:t>
      </w:r>
    </w:p>
    <w:p w14:paraId="234F9CFC">
      <w:pPr>
        <w:pStyle w:val="4"/>
        <w:rPr>
          <w:i w:val="0"/>
          <w:iCs w:val="0"/>
          <w:color w:val="auto"/>
          <w:sz w:val="24"/>
          <w:szCs w:val="21"/>
          <w:highlight w:val="none"/>
        </w:rPr>
      </w:pPr>
      <w:bookmarkStart w:id="342" w:name="_Toc93674803"/>
      <w:bookmarkStart w:id="343" w:name="_Toc29015"/>
      <w:bookmarkStart w:id="344" w:name="_Toc216637930"/>
      <w:bookmarkStart w:id="345" w:name="_Toc85528774"/>
      <w:r>
        <w:rPr>
          <w:rFonts w:hint="eastAsia"/>
          <w:i w:val="0"/>
          <w:iCs w:val="0"/>
          <w:color w:val="auto"/>
          <w:sz w:val="24"/>
          <w:szCs w:val="21"/>
          <w:highlight w:val="none"/>
        </w:rPr>
        <w:t>安装验收规范书</w:t>
      </w:r>
      <w:bookmarkEnd w:id="342"/>
      <w:bookmarkEnd w:id="343"/>
      <w:bookmarkEnd w:id="344"/>
      <w:bookmarkEnd w:id="345"/>
    </w:p>
    <w:p w14:paraId="234F9CF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投标人在工程进行安装前30天要向招标人提供安装工程规范及安装要求，包括验收项目、标准、方法以及对不合格项目的修理和替换的规定。</w:t>
      </w:r>
    </w:p>
    <w:p w14:paraId="234F9CFE">
      <w:pPr>
        <w:pStyle w:val="4"/>
        <w:rPr>
          <w:i w:val="0"/>
          <w:iCs w:val="0"/>
          <w:color w:val="auto"/>
          <w:sz w:val="24"/>
          <w:szCs w:val="21"/>
          <w:highlight w:val="none"/>
        </w:rPr>
      </w:pPr>
      <w:bookmarkStart w:id="346" w:name="_Toc93674804"/>
      <w:bookmarkStart w:id="347" w:name="_Toc11343"/>
      <w:bookmarkStart w:id="348" w:name="_Toc85528775"/>
      <w:bookmarkStart w:id="349" w:name="_Toc216637931"/>
      <w:r>
        <w:rPr>
          <w:rFonts w:hint="eastAsia"/>
          <w:i w:val="0"/>
          <w:iCs w:val="0"/>
          <w:color w:val="auto"/>
          <w:sz w:val="24"/>
          <w:szCs w:val="21"/>
          <w:highlight w:val="none"/>
        </w:rPr>
        <w:t>试验、检验规范书及测试和测试检验报告</w:t>
      </w:r>
      <w:bookmarkEnd w:id="346"/>
      <w:bookmarkEnd w:id="347"/>
      <w:bookmarkEnd w:id="348"/>
      <w:bookmarkEnd w:id="349"/>
    </w:p>
    <w:p w14:paraId="234F9CF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（1）测试、检验规范书应包括测试、检验阶段的试验条件、测试设备、试验方法、测试检验内容、标准和测试检验程序。具体细节在设计联络中确认。</w:t>
      </w:r>
    </w:p>
    <w:p w14:paraId="234F9D0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2）测试检验报告应包括全部测试内容、标准值、测试值、以及系统、地点、日期、测试人等，该报告应详尽到可使招标人对测试检验的真实性和准确性进行评定，并获得招标人认可。且测试检验报告须投标人、招标人的共同签认。</w:t>
      </w:r>
    </w:p>
    <w:p w14:paraId="234F9D0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（3）投标人在系统每一阶段的检验验收测试完成后的14天内向招标人递交一式10份试验报告，试验报告应包括所有测试记录，该记录应详尽到可使招标人得以就其真实性及准确性进行评定。</w:t>
      </w:r>
    </w:p>
    <w:p w14:paraId="234F9D02">
      <w:pPr>
        <w:pStyle w:val="4"/>
        <w:rPr>
          <w:i w:val="0"/>
          <w:iCs w:val="0"/>
          <w:color w:val="auto"/>
          <w:sz w:val="24"/>
          <w:szCs w:val="21"/>
          <w:highlight w:val="none"/>
        </w:rPr>
      </w:pPr>
      <w:bookmarkStart w:id="350" w:name="_Toc93674805"/>
      <w:bookmarkStart w:id="351" w:name="_Toc216637932"/>
      <w:bookmarkStart w:id="352" w:name="_Toc24129"/>
      <w:bookmarkStart w:id="353" w:name="_Toc85528776"/>
      <w:r>
        <w:rPr>
          <w:rFonts w:hint="eastAsia"/>
          <w:i w:val="0"/>
          <w:iCs w:val="0"/>
          <w:color w:val="auto"/>
          <w:sz w:val="24"/>
          <w:szCs w:val="21"/>
          <w:highlight w:val="none"/>
        </w:rPr>
        <w:t>验收标准</w:t>
      </w:r>
      <w:bookmarkEnd w:id="350"/>
      <w:bookmarkEnd w:id="351"/>
      <w:bookmarkEnd w:id="352"/>
      <w:bookmarkEnd w:id="353"/>
    </w:p>
    <w:p w14:paraId="234F9D0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根据所提供的各子系统和设备的具体情况，向招标人提供相应的验收标准。原则上国家或行业已有标准的，应提供国家或行业的最新标准；对于无现成标准的系统和设备，投标人应提供相关的企业标准或对自编标准，自编标准的内容深度应符合相关规范要求，并获得招标人认可，招标人的认可不减轻投标人对系统和设备质量的责任。</w:t>
      </w:r>
    </w:p>
    <w:p w14:paraId="234F9D04">
      <w:pPr>
        <w:pStyle w:val="4"/>
        <w:rPr>
          <w:i w:val="0"/>
          <w:iCs w:val="0"/>
          <w:color w:val="auto"/>
          <w:sz w:val="24"/>
          <w:szCs w:val="21"/>
          <w:highlight w:val="none"/>
        </w:rPr>
      </w:pPr>
      <w:bookmarkStart w:id="354" w:name="_Toc93674806"/>
      <w:bookmarkStart w:id="355" w:name="_Toc216637933"/>
      <w:bookmarkStart w:id="356" w:name="_Toc30092"/>
      <w:bookmarkStart w:id="357" w:name="_Toc85528777"/>
      <w:r>
        <w:rPr>
          <w:rFonts w:hint="eastAsia"/>
          <w:i w:val="0"/>
          <w:iCs w:val="0"/>
          <w:color w:val="auto"/>
          <w:sz w:val="24"/>
          <w:szCs w:val="21"/>
          <w:highlight w:val="none"/>
        </w:rPr>
        <w:t>竣工文件</w:t>
      </w:r>
      <w:bookmarkEnd w:id="354"/>
      <w:bookmarkEnd w:id="355"/>
      <w:bookmarkEnd w:id="356"/>
      <w:bookmarkEnd w:id="357"/>
    </w:p>
    <w:p w14:paraId="234F9D0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工程竣工验收前，投标人应按照招标人要求及规定编制准确、清楚的竣工文件：</w:t>
      </w:r>
    </w:p>
    <w:p w14:paraId="234F9D0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竣工图：竣工图要求提供纸质件、扫描件（光盘）及AUTOCAD电子件（光盘）三种文件形式。投标人须根据施工图和工程变更实施的实际情况，提供重新绘制并晒蓝的纸质竣工图10套，提供AUTOCAD2010版本电子件竣工图（光盘）10套，提供扫描件竣工图（光盘）10套。</w:t>
      </w:r>
    </w:p>
    <w:p w14:paraId="234F9D0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（2）声像档案：投标人应提供录像光盘10套（单独刻制），提供照片光盘10套（单独刻制），工程案卷及卷内目录10套（单独刻制）。</w:t>
      </w:r>
    </w:p>
    <w:p w14:paraId="234F9D0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（3）其它：投标人还应提供技术文字材料竣工档案（纸质件）10套，提供电子件10套（单独刻制）。其中合格证及试验检验报告因无电子件，需扫描电子件。</w:t>
      </w:r>
    </w:p>
    <w:p w14:paraId="234F9D09">
      <w:pPr>
        <w:pStyle w:val="4"/>
        <w:rPr>
          <w:i w:val="0"/>
          <w:iCs w:val="0"/>
          <w:color w:val="auto"/>
          <w:sz w:val="24"/>
          <w:szCs w:val="21"/>
          <w:highlight w:val="none"/>
        </w:rPr>
      </w:pPr>
      <w:bookmarkStart w:id="358" w:name="_Toc85528778"/>
      <w:bookmarkStart w:id="359" w:name="_Toc26418"/>
      <w:bookmarkStart w:id="360" w:name="_Toc216637934"/>
      <w:bookmarkStart w:id="361" w:name="_Toc93674807"/>
      <w:r>
        <w:rPr>
          <w:rFonts w:hint="eastAsia"/>
          <w:i w:val="0"/>
          <w:iCs w:val="0"/>
          <w:color w:val="auto"/>
          <w:sz w:val="24"/>
          <w:szCs w:val="21"/>
          <w:highlight w:val="none"/>
        </w:rPr>
        <w:t>安装手册</w:t>
      </w:r>
      <w:bookmarkEnd w:id="358"/>
      <w:bookmarkEnd w:id="359"/>
      <w:bookmarkEnd w:id="360"/>
      <w:bookmarkEnd w:id="361"/>
    </w:p>
    <w:p w14:paraId="234F9D0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安装手册应由所需全部图纸和资料组成。应包括（但不限于）：</w:t>
      </w:r>
    </w:p>
    <w:p w14:paraId="234F9D0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（1）电源、数据、控制和通信接口的配线规程；</w:t>
      </w:r>
    </w:p>
    <w:p w14:paraId="234F9D0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（2）为设备就位所需之地板、导轨、支架的安装、钻孔和上螺丝的方法；</w:t>
      </w:r>
    </w:p>
    <w:p w14:paraId="234F9D0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（3）安全警告或注意事项；</w:t>
      </w:r>
    </w:p>
    <w:p w14:paraId="234F9D0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（4）接地及其连接规程；</w:t>
      </w:r>
    </w:p>
    <w:p w14:paraId="234F9D0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（5）洁净和通风说明；</w:t>
      </w:r>
    </w:p>
    <w:p w14:paraId="234F9D1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（6）测试和校准方法；</w:t>
      </w:r>
    </w:p>
    <w:p w14:paraId="234F9D1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（7）气候防护、灰尘防护和其他的环境防护；</w:t>
      </w:r>
    </w:p>
    <w:p w14:paraId="234F9D1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（8）正确安装设备所需要的其他规程；</w:t>
      </w:r>
    </w:p>
    <w:p w14:paraId="234F9D1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（9）安装所需工具的功能及建议数量。</w:t>
      </w:r>
    </w:p>
    <w:p w14:paraId="234F9D14">
      <w:pPr>
        <w:pStyle w:val="4"/>
        <w:rPr>
          <w:i w:val="0"/>
          <w:iCs w:val="0"/>
          <w:color w:val="auto"/>
          <w:sz w:val="24"/>
          <w:szCs w:val="21"/>
          <w:highlight w:val="none"/>
        </w:rPr>
      </w:pPr>
      <w:bookmarkStart w:id="362" w:name="_Toc93674808"/>
      <w:bookmarkStart w:id="363" w:name="_Toc216637935"/>
      <w:bookmarkStart w:id="364" w:name="_Toc85528779"/>
      <w:bookmarkStart w:id="365" w:name="_Toc28381"/>
      <w:r>
        <w:rPr>
          <w:rFonts w:hint="eastAsia"/>
          <w:i w:val="0"/>
          <w:iCs w:val="0"/>
          <w:color w:val="auto"/>
          <w:sz w:val="24"/>
          <w:szCs w:val="21"/>
          <w:highlight w:val="none"/>
        </w:rPr>
        <w:t>操作手册</w:t>
      </w:r>
      <w:bookmarkEnd w:id="362"/>
      <w:bookmarkEnd w:id="363"/>
      <w:bookmarkEnd w:id="364"/>
      <w:bookmarkEnd w:id="365"/>
    </w:p>
    <w:p w14:paraId="234F9D1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操作手册是为运营操作人员在各个系统的操作和检查时提供的指导。操作手册应包括（但不限于以下内容）：</w:t>
      </w:r>
    </w:p>
    <w:p w14:paraId="234F9D1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（1）系统概述；</w:t>
      </w:r>
    </w:p>
    <w:p w14:paraId="234F9D1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（2）主要功能说明；</w:t>
      </w:r>
    </w:p>
    <w:p w14:paraId="234F9D1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（3）操作指南；</w:t>
      </w:r>
    </w:p>
    <w:p w14:paraId="234F9D1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（4）故障状态。</w:t>
      </w:r>
    </w:p>
    <w:p w14:paraId="234F9D1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5）投标人提交的说明资料要对所规定的每一种设备及其如何操作予以阐述。该手册应包括所供设备配置的一般介绍，其它的预期用途及其主要性能参数。只要涉及到人机界面，诸如控制台、工作台、表示/控制盘或记录器，该手册应一步一步地定义操作顺序，以说明如何使用这些界面。手册应包括足够的图解以对所有控制和显示设备识别和定位。</w:t>
      </w:r>
    </w:p>
    <w:p w14:paraId="234F9D1B">
      <w:pPr>
        <w:pStyle w:val="4"/>
        <w:rPr>
          <w:i w:val="0"/>
          <w:iCs w:val="0"/>
          <w:color w:val="auto"/>
          <w:sz w:val="24"/>
          <w:szCs w:val="21"/>
          <w:highlight w:val="none"/>
        </w:rPr>
      </w:pPr>
      <w:bookmarkStart w:id="366" w:name="_Toc85528780"/>
      <w:bookmarkStart w:id="367" w:name="_Toc30843"/>
      <w:bookmarkStart w:id="368" w:name="_Toc93674809"/>
      <w:bookmarkStart w:id="369" w:name="_Toc216637936"/>
      <w:r>
        <w:rPr>
          <w:rFonts w:hint="eastAsia"/>
          <w:i w:val="0"/>
          <w:iCs w:val="0"/>
          <w:color w:val="auto"/>
          <w:sz w:val="24"/>
          <w:szCs w:val="21"/>
          <w:highlight w:val="none"/>
        </w:rPr>
        <w:t>维修手册</w:t>
      </w:r>
      <w:bookmarkEnd w:id="366"/>
      <w:bookmarkEnd w:id="367"/>
      <w:bookmarkEnd w:id="368"/>
      <w:bookmarkEnd w:id="369"/>
    </w:p>
    <w:p w14:paraId="234F9D1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维修手册是为系统维修人员的维护、检查、运营、修理和调整提供指导。维护手册应包括（但不限于以下内容）：</w:t>
      </w:r>
    </w:p>
    <w:p w14:paraId="234F9D1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（1）维护手册应提供给熟练的技术人员，包括设备和系统的操作说明，以及预防维护和故障维修指令。</w:t>
      </w:r>
    </w:p>
    <w:p w14:paraId="234F9D1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2）操作说明应包括设备如何操作的简要介绍和方框图，配置中的主要硬件和软件程序。主要硬件和程序的操作顺序应以功能框图说明。要提供详细的逻辑和流程图，以满足故障查找分析和现场修理工作的需要。</w:t>
      </w:r>
    </w:p>
    <w:p w14:paraId="234F9D1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（3）维修手册应对系统各级检修的内容、要求、方法、程序、设备、工具、材料等方面做出详细的说明；对主要的故障部件的更换、调整和测试也要做出详细的说明。</w:t>
      </w:r>
    </w:p>
    <w:p w14:paraId="234F9D2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（4）对于需要使用便携式测试仪工作的，还应包括其调整方面的内容。</w:t>
      </w:r>
    </w:p>
    <w:p w14:paraId="234F9D2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5）维修手册的预防维护说明应包括所有设备定期维护适用的直观检查、软件和硬件测试、诊断程序和所需调整。关于如何安装和运行测试、诊断程序，如何使用专用或通用的测试设备的说明应作为预防维护说明的一个整体部分。</w:t>
      </w:r>
    </w:p>
    <w:p w14:paraId="234F9D2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6）维修手册的故障维修说明应包括故障定位到元件级或现场修理级的指导。这些指导应包括如何快速有效地定位设备故障原因的详细说明，应说明可能的故障源、征兆、可能的原因和排除故障指令，还应说明在可能时如何使用在线测试、诊断程序和专用的测试设备。故障维修说明还应包括有关所有项目的修理、调整（校正）、替换说明，包括电路图和机电图，还应包括如何安装和运行专用的脱机诊断程序，使用工具和测试设备的说明，以及为保护人员和设备应当遵守的任何注意或警告。</w:t>
      </w:r>
    </w:p>
    <w:p w14:paraId="234F9D2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7）维修手册的部件说明应表明每一可替换的或现场可修复的模块。应在元件表或图中详细标出那些可以从市场买到的任何可修复或可替换元件。这些部件应按其工业的、一般的零件号标识，如若可能应有第二种标识方式。</w:t>
      </w:r>
    </w:p>
    <w:p w14:paraId="234F9D2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（8）维护报告应由用户保存，包括维护人员在所有故障维修工作中记录的数据和资料。投标人应与招标人协作，以提供合适的格式。</w:t>
      </w:r>
    </w:p>
    <w:p w14:paraId="234F9D25">
      <w:pPr>
        <w:pStyle w:val="4"/>
        <w:rPr>
          <w:i w:val="0"/>
          <w:iCs w:val="0"/>
          <w:color w:val="auto"/>
          <w:sz w:val="24"/>
          <w:szCs w:val="21"/>
          <w:highlight w:val="none"/>
        </w:rPr>
      </w:pPr>
      <w:bookmarkStart w:id="370" w:name="_Toc85528781"/>
      <w:bookmarkStart w:id="371" w:name="_Toc5745"/>
      <w:bookmarkStart w:id="372" w:name="_Toc216637937"/>
      <w:bookmarkStart w:id="373" w:name="_Toc93674810"/>
      <w:r>
        <w:rPr>
          <w:rFonts w:hint="eastAsia"/>
          <w:i w:val="0"/>
          <w:iCs w:val="0"/>
          <w:color w:val="auto"/>
          <w:sz w:val="24"/>
          <w:szCs w:val="21"/>
          <w:highlight w:val="none"/>
        </w:rPr>
        <w:t>最终技术文件</w:t>
      </w:r>
      <w:bookmarkEnd w:id="370"/>
      <w:bookmarkEnd w:id="371"/>
      <w:bookmarkEnd w:id="372"/>
      <w:bookmarkEnd w:id="373"/>
    </w:p>
    <w:p w14:paraId="234F9D2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（1）该文件应包括所供系统的最终技术参数，应清晰地规定系统要求的硬件和软件，并取得投标人和招标人的确认。</w:t>
      </w:r>
    </w:p>
    <w:p w14:paraId="234F9D2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（2）该文件应包括但不限于下列内容：</w:t>
      </w:r>
    </w:p>
    <w:p w14:paraId="234F9D2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系统总说明；系统构成；功能详细描述；技术参数；特性曲线；设备布置；系统的详细电路图及其说明。</w:t>
      </w:r>
    </w:p>
    <w:p w14:paraId="234F9D2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计算结果：系统MTBF计算结果；系统可用性计算结果。</w:t>
      </w:r>
    </w:p>
    <w:p w14:paraId="234F9D2A">
      <w:pPr>
        <w:pStyle w:val="4"/>
        <w:rPr>
          <w:i w:val="0"/>
          <w:iCs w:val="0"/>
          <w:color w:val="auto"/>
          <w:sz w:val="24"/>
          <w:szCs w:val="21"/>
          <w:highlight w:val="none"/>
        </w:rPr>
      </w:pPr>
      <w:bookmarkStart w:id="374" w:name="_Toc216637938"/>
      <w:bookmarkStart w:id="375" w:name="_Toc85528782"/>
      <w:bookmarkStart w:id="376" w:name="_Toc93674811"/>
      <w:bookmarkStart w:id="377" w:name="_Toc30219"/>
      <w:r>
        <w:rPr>
          <w:rFonts w:hint="eastAsia"/>
          <w:i w:val="0"/>
          <w:iCs w:val="0"/>
          <w:color w:val="auto"/>
          <w:sz w:val="24"/>
          <w:szCs w:val="21"/>
          <w:highlight w:val="none"/>
        </w:rPr>
        <w:t>其它</w:t>
      </w:r>
      <w:bookmarkEnd w:id="374"/>
      <w:bookmarkEnd w:id="375"/>
      <w:bookmarkEnd w:id="376"/>
      <w:bookmarkEnd w:id="377"/>
    </w:p>
    <w:p w14:paraId="234F9D2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提交的技术文件应包括设计、制造、出厂检验、运输、调试、运行、质保期、维护、开发、培训等各阶段所涉及的所有文件。同时应提交系统集成质量保证、质量控制、质量管理以及进度控制等报告，供招标人检查督促。</w:t>
      </w:r>
    </w:p>
    <w:p w14:paraId="234F9D2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投标人应在合同签订时提交《文档管理制度》报招标人审批，在本合同项下的文字资料和图纸的识别、编制、审批、传递、存档，必须严格执行《文档管理制度》，并接受招标人的监督和审查。</w:t>
      </w:r>
    </w:p>
    <w:p w14:paraId="234F9D2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投标人对所提供的全部文件资料的正确性、完整性和及时性负完全责任。</w:t>
      </w:r>
    </w:p>
    <w:p w14:paraId="234F9D2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所有提交的文件资料需使用中文或中英文对照。附10套光盘。电子文件应采用通用的软件制作。</w:t>
      </w:r>
    </w:p>
    <w:p w14:paraId="234F9D2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当招标人需要和要求有关设备资料时，投标人应及时提供。</w:t>
      </w:r>
    </w:p>
    <w:p w14:paraId="234F9D3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图纸、手册和技术文件在设备设计和制造过程中有更新时，投标人应及时向招标人提供新的更新文件。</w:t>
      </w:r>
    </w:p>
    <w:p w14:paraId="234F9D31">
      <w:pPr>
        <w:pStyle w:val="4"/>
        <w:rPr>
          <w:i w:val="0"/>
          <w:iCs w:val="0"/>
          <w:color w:val="auto"/>
          <w:sz w:val="24"/>
          <w:szCs w:val="21"/>
          <w:highlight w:val="none"/>
        </w:rPr>
      </w:pPr>
      <w:bookmarkStart w:id="378" w:name="_Toc85528783"/>
      <w:bookmarkStart w:id="379" w:name="_Toc216637939"/>
      <w:bookmarkStart w:id="380" w:name="_Toc11517"/>
      <w:bookmarkStart w:id="381" w:name="_Toc93674812"/>
      <w:r>
        <w:rPr>
          <w:rFonts w:hint="eastAsia"/>
          <w:i w:val="0"/>
          <w:iCs w:val="0"/>
          <w:color w:val="auto"/>
          <w:sz w:val="24"/>
          <w:szCs w:val="21"/>
          <w:highlight w:val="none"/>
        </w:rPr>
        <w:t>投标人文件</w:t>
      </w:r>
      <w:bookmarkEnd w:id="378"/>
      <w:bookmarkEnd w:id="379"/>
      <w:bookmarkEnd w:id="380"/>
      <w:bookmarkEnd w:id="381"/>
    </w:p>
    <w:p w14:paraId="234F9D32">
      <w:pPr>
        <w:pStyle w:val="6"/>
        <w:ind w:left="0"/>
        <w:rPr>
          <w:i w:val="0"/>
          <w:iCs w:val="0"/>
          <w:color w:val="auto"/>
          <w:sz w:val="22"/>
          <w:szCs w:val="22"/>
          <w:highlight w:val="none"/>
        </w:rPr>
      </w:pPr>
      <w:bookmarkStart w:id="382" w:name="_Toc16472"/>
      <w:bookmarkStart w:id="383" w:name="_Toc93674813"/>
      <w:r>
        <w:rPr>
          <w:rFonts w:hint="eastAsia"/>
          <w:i w:val="0"/>
          <w:iCs w:val="0"/>
          <w:color w:val="auto"/>
          <w:sz w:val="22"/>
          <w:szCs w:val="22"/>
          <w:highlight w:val="none"/>
        </w:rPr>
        <w:t>投标人管理文件</w:t>
      </w:r>
      <w:bookmarkEnd w:id="382"/>
      <w:bookmarkEnd w:id="383"/>
    </w:p>
    <w:p w14:paraId="234F9D33">
      <w:pPr>
        <w:pStyle w:val="7"/>
        <w:ind w:left="0"/>
        <w:rPr>
          <w:i w:val="0"/>
          <w:iCs w:val="0"/>
          <w:color w:val="auto"/>
          <w:sz w:val="21"/>
          <w:szCs w:val="21"/>
          <w:highlight w:val="none"/>
        </w:rPr>
      </w:pPr>
      <w:r>
        <w:rPr>
          <w:rFonts w:hint="eastAsia"/>
          <w:i w:val="0"/>
          <w:iCs w:val="0"/>
          <w:color w:val="auto"/>
          <w:sz w:val="21"/>
          <w:szCs w:val="21"/>
          <w:highlight w:val="none"/>
        </w:rPr>
        <w:t>控制进度表</w:t>
      </w:r>
    </w:p>
    <w:p w14:paraId="234F9D3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投标人应在合同生效日后30天内以图表形式提交总的工程控制进度计划，供招标人审批。工程控制进度计划应表示出工程中主要活动的开始与完成日期，内容包括但不仅限于：</w:t>
      </w:r>
    </w:p>
    <w:p w14:paraId="234F9D35">
      <w:pPr>
        <w:pStyle w:val="142"/>
        <w:numPr>
          <w:ilvl w:val="0"/>
          <w:numId w:val="38"/>
        </w:numPr>
        <w:ind w:firstLineChars="0"/>
        <w:rPr>
          <w:i w:val="0"/>
          <w:iCs w:val="0"/>
          <w:color w:val="auto"/>
          <w:sz w:val="21"/>
          <w:szCs w:val="15"/>
          <w:highlight w:val="none"/>
        </w:rPr>
      </w:pPr>
      <w:r>
        <w:rPr>
          <w:rFonts w:hint="eastAsia"/>
          <w:i w:val="0"/>
          <w:iCs w:val="0"/>
          <w:color w:val="auto"/>
          <w:sz w:val="21"/>
          <w:szCs w:val="15"/>
          <w:highlight w:val="none"/>
        </w:rPr>
        <w:t>系统设计；</w:t>
      </w:r>
    </w:p>
    <w:p w14:paraId="234F9D36">
      <w:pPr>
        <w:pStyle w:val="142"/>
        <w:numPr>
          <w:ilvl w:val="0"/>
          <w:numId w:val="38"/>
        </w:numPr>
        <w:ind w:firstLineChars="0"/>
        <w:rPr>
          <w:i w:val="0"/>
          <w:iCs w:val="0"/>
          <w:color w:val="auto"/>
          <w:sz w:val="21"/>
          <w:szCs w:val="15"/>
          <w:highlight w:val="none"/>
        </w:rPr>
      </w:pPr>
      <w:r>
        <w:rPr>
          <w:rFonts w:hint="eastAsia"/>
          <w:i w:val="0"/>
          <w:iCs w:val="0"/>
          <w:color w:val="auto"/>
          <w:sz w:val="21"/>
          <w:szCs w:val="15"/>
          <w:highlight w:val="none"/>
        </w:rPr>
        <w:t>详细设计；</w:t>
      </w:r>
    </w:p>
    <w:p w14:paraId="234F9D37">
      <w:pPr>
        <w:pStyle w:val="142"/>
        <w:numPr>
          <w:ilvl w:val="0"/>
          <w:numId w:val="38"/>
        </w:numPr>
        <w:ind w:firstLineChars="0"/>
        <w:rPr>
          <w:i w:val="0"/>
          <w:iCs w:val="0"/>
          <w:color w:val="auto"/>
          <w:sz w:val="21"/>
          <w:szCs w:val="15"/>
          <w:highlight w:val="none"/>
        </w:rPr>
      </w:pPr>
      <w:r>
        <w:rPr>
          <w:rFonts w:hint="eastAsia"/>
          <w:i w:val="0"/>
          <w:iCs w:val="0"/>
          <w:color w:val="auto"/>
          <w:sz w:val="21"/>
          <w:szCs w:val="15"/>
          <w:highlight w:val="none"/>
        </w:rPr>
        <w:t>提交图纸审批；</w:t>
      </w:r>
    </w:p>
    <w:p w14:paraId="234F9D38">
      <w:pPr>
        <w:pStyle w:val="142"/>
        <w:numPr>
          <w:ilvl w:val="0"/>
          <w:numId w:val="38"/>
        </w:numPr>
        <w:ind w:firstLineChars="0"/>
        <w:rPr>
          <w:i w:val="0"/>
          <w:iCs w:val="0"/>
          <w:color w:val="auto"/>
          <w:sz w:val="21"/>
          <w:szCs w:val="15"/>
          <w:highlight w:val="none"/>
        </w:rPr>
      </w:pPr>
      <w:r>
        <w:rPr>
          <w:rFonts w:hint="eastAsia"/>
          <w:i w:val="0"/>
          <w:iCs w:val="0"/>
          <w:color w:val="auto"/>
          <w:sz w:val="21"/>
          <w:szCs w:val="15"/>
          <w:highlight w:val="none"/>
        </w:rPr>
        <w:t>接收批准的图纸；</w:t>
      </w:r>
    </w:p>
    <w:p w14:paraId="234F9D39">
      <w:pPr>
        <w:pStyle w:val="142"/>
        <w:numPr>
          <w:ilvl w:val="0"/>
          <w:numId w:val="38"/>
        </w:numPr>
        <w:ind w:firstLineChars="0"/>
        <w:rPr>
          <w:i w:val="0"/>
          <w:iCs w:val="0"/>
          <w:color w:val="auto"/>
          <w:sz w:val="21"/>
          <w:szCs w:val="15"/>
          <w:highlight w:val="none"/>
        </w:rPr>
      </w:pPr>
      <w:r>
        <w:rPr>
          <w:rFonts w:hint="eastAsia"/>
          <w:i w:val="0"/>
          <w:iCs w:val="0"/>
          <w:color w:val="auto"/>
          <w:sz w:val="21"/>
          <w:szCs w:val="15"/>
          <w:highlight w:val="none"/>
        </w:rPr>
        <w:t>发出设备材料订单；</w:t>
      </w:r>
    </w:p>
    <w:p w14:paraId="234F9D3A">
      <w:pPr>
        <w:pStyle w:val="142"/>
        <w:numPr>
          <w:ilvl w:val="0"/>
          <w:numId w:val="38"/>
        </w:numPr>
        <w:ind w:firstLineChars="0"/>
        <w:rPr>
          <w:i w:val="0"/>
          <w:iCs w:val="0"/>
          <w:color w:val="auto"/>
          <w:sz w:val="21"/>
          <w:szCs w:val="15"/>
          <w:highlight w:val="none"/>
        </w:rPr>
      </w:pPr>
      <w:r>
        <w:rPr>
          <w:rFonts w:hint="eastAsia"/>
          <w:i w:val="0"/>
          <w:iCs w:val="0"/>
          <w:color w:val="auto"/>
          <w:sz w:val="21"/>
          <w:szCs w:val="15"/>
          <w:highlight w:val="none"/>
        </w:rPr>
        <w:t>接收设备材料；</w:t>
      </w:r>
    </w:p>
    <w:p w14:paraId="234F9D3B">
      <w:pPr>
        <w:pStyle w:val="142"/>
        <w:numPr>
          <w:ilvl w:val="0"/>
          <w:numId w:val="38"/>
        </w:numPr>
        <w:ind w:firstLineChars="0"/>
        <w:rPr>
          <w:i w:val="0"/>
          <w:iCs w:val="0"/>
          <w:color w:val="auto"/>
          <w:sz w:val="21"/>
          <w:szCs w:val="15"/>
          <w:highlight w:val="none"/>
        </w:rPr>
      </w:pPr>
      <w:r>
        <w:rPr>
          <w:rFonts w:hint="eastAsia"/>
          <w:i w:val="0"/>
          <w:iCs w:val="0"/>
          <w:color w:val="auto"/>
          <w:sz w:val="21"/>
          <w:szCs w:val="15"/>
          <w:highlight w:val="none"/>
        </w:rPr>
        <w:t>工厂制造；</w:t>
      </w:r>
    </w:p>
    <w:p w14:paraId="234F9D3C">
      <w:pPr>
        <w:pStyle w:val="142"/>
        <w:numPr>
          <w:ilvl w:val="0"/>
          <w:numId w:val="38"/>
        </w:numPr>
        <w:ind w:firstLineChars="0"/>
        <w:rPr>
          <w:i w:val="0"/>
          <w:iCs w:val="0"/>
          <w:color w:val="auto"/>
          <w:sz w:val="21"/>
          <w:szCs w:val="15"/>
          <w:highlight w:val="none"/>
        </w:rPr>
      </w:pPr>
      <w:r>
        <w:rPr>
          <w:rFonts w:hint="eastAsia"/>
          <w:i w:val="0"/>
          <w:iCs w:val="0"/>
          <w:color w:val="auto"/>
          <w:sz w:val="21"/>
          <w:szCs w:val="15"/>
          <w:highlight w:val="none"/>
        </w:rPr>
        <w:t>工厂测试；</w:t>
      </w:r>
    </w:p>
    <w:p w14:paraId="234F9D3D">
      <w:pPr>
        <w:pStyle w:val="142"/>
        <w:numPr>
          <w:ilvl w:val="0"/>
          <w:numId w:val="38"/>
        </w:numPr>
        <w:ind w:firstLineChars="0"/>
        <w:rPr>
          <w:i w:val="0"/>
          <w:iCs w:val="0"/>
          <w:color w:val="auto"/>
          <w:sz w:val="21"/>
          <w:szCs w:val="15"/>
          <w:highlight w:val="none"/>
        </w:rPr>
      </w:pPr>
      <w:r>
        <w:rPr>
          <w:rFonts w:hint="eastAsia"/>
          <w:i w:val="0"/>
          <w:iCs w:val="0"/>
          <w:color w:val="auto"/>
          <w:sz w:val="21"/>
          <w:szCs w:val="15"/>
          <w:highlight w:val="none"/>
        </w:rPr>
        <w:t>运输；</w:t>
      </w:r>
    </w:p>
    <w:p w14:paraId="234F9D3E">
      <w:pPr>
        <w:pStyle w:val="142"/>
        <w:numPr>
          <w:ilvl w:val="0"/>
          <w:numId w:val="38"/>
        </w:numPr>
        <w:ind w:firstLineChars="0"/>
        <w:rPr>
          <w:i w:val="0"/>
          <w:iCs w:val="0"/>
          <w:color w:val="auto"/>
          <w:sz w:val="21"/>
          <w:szCs w:val="15"/>
          <w:highlight w:val="none"/>
        </w:rPr>
      </w:pPr>
      <w:r>
        <w:rPr>
          <w:rFonts w:hint="eastAsia"/>
          <w:i w:val="0"/>
          <w:iCs w:val="0"/>
          <w:color w:val="auto"/>
          <w:sz w:val="21"/>
          <w:szCs w:val="15"/>
          <w:highlight w:val="none"/>
        </w:rPr>
        <w:t>调试开通和试运行。</w:t>
      </w:r>
    </w:p>
    <w:p w14:paraId="234F9D3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工程控制进度计划应遵照合同进度，工程控制进度中的所有活动都应按计划如期进行。投标人还应提交一份安装过程说明，说明拟采用的安装方法。</w:t>
      </w:r>
    </w:p>
    <w:p w14:paraId="234F9D4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若投标人认为改变工程控制进度中的事件顺序是必要的或有利的，则应提交一份“修改建议书”给招标人审批。招标人将研究“修改建议书”，并应在收到“修改建议书”后14天内向投标人说明是否批准。在得到招标人批准的修改过的工程控制计划前，正在执行的工程中活动的顺序不应改变。</w:t>
      </w:r>
    </w:p>
    <w:p w14:paraId="234F9D41">
      <w:pPr>
        <w:pStyle w:val="7"/>
        <w:ind w:left="0"/>
        <w:rPr>
          <w:i w:val="0"/>
          <w:iCs w:val="0"/>
          <w:color w:val="auto"/>
          <w:sz w:val="21"/>
          <w:szCs w:val="21"/>
          <w:highlight w:val="none"/>
        </w:rPr>
      </w:pPr>
      <w:r>
        <w:rPr>
          <w:rFonts w:hint="eastAsia"/>
          <w:i w:val="0"/>
          <w:iCs w:val="0"/>
          <w:color w:val="auto"/>
          <w:sz w:val="21"/>
          <w:szCs w:val="21"/>
          <w:highlight w:val="none"/>
        </w:rPr>
        <w:t>月进度报告</w:t>
      </w:r>
    </w:p>
    <w:p w14:paraId="234F9D4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投标人应每月向招标人提交一式三份的月进度报告，报告应反映当前的工作状况，并与工程控制计划中预期的进度进行比较，表示出工程控制计划中各部分工作完成的百分比。</w:t>
      </w:r>
    </w:p>
    <w:p w14:paraId="234F9D43">
      <w:pPr>
        <w:pStyle w:val="7"/>
        <w:ind w:left="0"/>
        <w:rPr>
          <w:i w:val="0"/>
          <w:iCs w:val="0"/>
          <w:color w:val="auto"/>
          <w:sz w:val="21"/>
          <w:szCs w:val="21"/>
          <w:highlight w:val="none"/>
        </w:rPr>
      </w:pPr>
      <w:r>
        <w:rPr>
          <w:rFonts w:hint="eastAsia"/>
          <w:i w:val="0"/>
          <w:iCs w:val="0"/>
          <w:color w:val="auto"/>
          <w:sz w:val="21"/>
          <w:szCs w:val="21"/>
          <w:highlight w:val="none"/>
        </w:rPr>
        <w:t>交货计划书</w:t>
      </w:r>
    </w:p>
    <w:p w14:paraId="234F9D4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投标人应每月向招标人提交一式三份的项目发货计划，计划应描述投标人主要发货批次的当前状况。当招标人要求时，应更频繁地报告某些批次的情况。</w:t>
      </w:r>
    </w:p>
    <w:p w14:paraId="234F9D45">
      <w:pPr>
        <w:pStyle w:val="7"/>
        <w:ind w:left="0"/>
        <w:rPr>
          <w:i w:val="0"/>
          <w:iCs w:val="0"/>
          <w:color w:val="auto"/>
          <w:sz w:val="21"/>
          <w:szCs w:val="21"/>
          <w:highlight w:val="none"/>
        </w:rPr>
      </w:pPr>
      <w:r>
        <w:rPr>
          <w:rFonts w:hint="eastAsia"/>
          <w:i w:val="0"/>
          <w:iCs w:val="0"/>
          <w:color w:val="auto"/>
          <w:sz w:val="21"/>
          <w:szCs w:val="21"/>
          <w:highlight w:val="none"/>
        </w:rPr>
        <w:t>图纸计划书</w:t>
      </w:r>
    </w:p>
    <w:p w14:paraId="234F9D4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投标人应在合同生效日后30天内向招标人提交一式三份的图纸计划书，图纸计划书应满足系统设计、工程设计、与相关系统接口设计等工程的需要，并应列出必须提交审批的全部图纸清单。</w:t>
      </w:r>
    </w:p>
    <w:p w14:paraId="234F9D4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图纸计划书应指明每张图的计划第一次提交日期、招标人代表审批时间和期望的最终批准发出日期。招标人代表审批时间按收到图纸后21天内考虑。</w:t>
      </w:r>
    </w:p>
    <w:p w14:paraId="234F9D4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投标人应在合同期内每30天提交新版的图纸计划书报批，以证实以前的版本是否仍然有效。</w:t>
      </w:r>
    </w:p>
    <w:p w14:paraId="234F9D49">
      <w:pPr>
        <w:pStyle w:val="7"/>
        <w:ind w:left="0"/>
        <w:rPr>
          <w:i w:val="0"/>
          <w:iCs w:val="0"/>
          <w:color w:val="auto"/>
          <w:sz w:val="21"/>
          <w:szCs w:val="21"/>
          <w:highlight w:val="none"/>
        </w:rPr>
      </w:pPr>
      <w:r>
        <w:rPr>
          <w:rFonts w:hint="eastAsia"/>
          <w:i w:val="0"/>
          <w:iCs w:val="0"/>
          <w:color w:val="auto"/>
          <w:sz w:val="21"/>
          <w:szCs w:val="21"/>
          <w:highlight w:val="none"/>
        </w:rPr>
        <w:t>测试计划书</w:t>
      </w:r>
    </w:p>
    <w:p w14:paraId="234F9D4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系统设计阶段，投标人应向招标人提交详细的测试计划书，内容包含但不限于测试范围、测试内容、时间安排、联调系统、可能风险/影响；这是确保产品满足技术要求和有关适用标准所必须的。设备和系统的测试进度应作为该计划书的一部分。在招标人批准测试计划书之后，招标人将通知投标人需其亲临的测试项目清单。</w:t>
      </w:r>
    </w:p>
    <w:p w14:paraId="234F9D4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系统设计中应逐步提交测试过程和期望结果表，在任何情况下，招标人未批准测试过程和期望结果表时，不应进行任何测试。</w:t>
      </w:r>
    </w:p>
    <w:p w14:paraId="234F9D4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测试计划书应按《测试手册》的形式装订，手册应包括有关材料、元件、线路板、设备和系统（包括硬件和软件）的所有测试和测试过程，含工厂测试。所有和安装、调试开通和可用性测试有关的测试计划应在开始测试前30天提交。《测试手册》在招标人批准后方可以使用。</w:t>
      </w:r>
    </w:p>
    <w:p w14:paraId="234F9D4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测试计划书应对定义的操作步骤和期望结果加以介绍和解释。</w:t>
      </w:r>
    </w:p>
    <w:p w14:paraId="234F9D4E">
      <w:pPr>
        <w:pStyle w:val="7"/>
        <w:ind w:left="0"/>
        <w:rPr>
          <w:i w:val="0"/>
          <w:iCs w:val="0"/>
          <w:color w:val="auto"/>
          <w:sz w:val="21"/>
          <w:szCs w:val="21"/>
          <w:highlight w:val="none"/>
        </w:rPr>
      </w:pPr>
      <w:r>
        <w:rPr>
          <w:rFonts w:hint="eastAsia"/>
          <w:i w:val="0"/>
          <w:iCs w:val="0"/>
          <w:color w:val="auto"/>
          <w:sz w:val="21"/>
          <w:szCs w:val="21"/>
          <w:highlight w:val="none"/>
        </w:rPr>
        <w:t>测试报告</w:t>
      </w:r>
    </w:p>
    <w:p w14:paraId="234F9D4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投标人在系统每一阶段的检验、验收测试完成后的15天内向招标人递交一式10份测试报告，测试报告应包括所有测试记录，记录应详尽，使得招标人能够对其真实性及准确性进行评定。</w:t>
      </w:r>
    </w:p>
    <w:p w14:paraId="234F9D5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测试报告的格式应便于确定测试设备是否满足适用规定，报告应提前以正确的顺序列出所需要的全部检验和测试内容。所有试验结果均应记录在测试报告中，由制造商、投标人质量保证工程师和招标人代表（如果亲临实验的话）批准。</w:t>
      </w:r>
    </w:p>
    <w:p w14:paraId="234F9D51">
      <w:pPr>
        <w:pStyle w:val="7"/>
        <w:ind w:left="0"/>
        <w:rPr>
          <w:i w:val="0"/>
          <w:iCs w:val="0"/>
          <w:color w:val="auto"/>
          <w:sz w:val="21"/>
          <w:szCs w:val="21"/>
          <w:highlight w:val="none"/>
        </w:rPr>
      </w:pPr>
      <w:r>
        <w:rPr>
          <w:rFonts w:hint="eastAsia"/>
          <w:i w:val="0"/>
          <w:iCs w:val="0"/>
          <w:color w:val="auto"/>
          <w:sz w:val="21"/>
          <w:szCs w:val="21"/>
          <w:highlight w:val="none"/>
        </w:rPr>
        <w:t>装运说明</w:t>
      </w:r>
    </w:p>
    <w:p w14:paraId="234F9D5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投标人应提前将一式三份每次装运的装箱单提交招标人批准。</w:t>
      </w:r>
    </w:p>
    <w:p w14:paraId="234F9D5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在首次发货前60天，投标人应将不同类型的材料和/或设备的包装与装箱的标准说明建议提交招标人审批。</w:t>
      </w:r>
    </w:p>
    <w:p w14:paraId="234F9D5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经招标人同意的标准，则适应于每次发货，无须再提交。</w:t>
      </w:r>
    </w:p>
    <w:p w14:paraId="234F9D55">
      <w:pPr>
        <w:pStyle w:val="7"/>
        <w:ind w:left="0"/>
        <w:rPr>
          <w:i w:val="0"/>
          <w:iCs w:val="0"/>
          <w:color w:val="auto"/>
          <w:sz w:val="21"/>
          <w:szCs w:val="21"/>
          <w:highlight w:val="none"/>
        </w:rPr>
      </w:pPr>
      <w:r>
        <w:rPr>
          <w:rFonts w:hint="eastAsia"/>
          <w:i w:val="0"/>
          <w:iCs w:val="0"/>
          <w:color w:val="auto"/>
          <w:sz w:val="21"/>
          <w:szCs w:val="21"/>
          <w:highlight w:val="none"/>
        </w:rPr>
        <w:t>质量控制计划书</w:t>
      </w:r>
    </w:p>
    <w:p w14:paraId="234F9D5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在合同生效日后30天内，投标人应提供一式三份完整的质量控制计划报招标人批准。</w:t>
      </w:r>
    </w:p>
    <w:p w14:paraId="234F9D57">
      <w:pPr>
        <w:pStyle w:val="7"/>
        <w:ind w:left="0"/>
        <w:rPr>
          <w:i w:val="0"/>
          <w:iCs w:val="0"/>
          <w:color w:val="auto"/>
          <w:sz w:val="21"/>
          <w:szCs w:val="21"/>
          <w:highlight w:val="none"/>
        </w:rPr>
      </w:pPr>
      <w:r>
        <w:rPr>
          <w:rFonts w:hint="eastAsia"/>
          <w:i w:val="0"/>
          <w:iCs w:val="0"/>
          <w:color w:val="auto"/>
          <w:sz w:val="21"/>
          <w:szCs w:val="21"/>
          <w:highlight w:val="none"/>
        </w:rPr>
        <w:t>技术文件及图纸</w:t>
      </w:r>
    </w:p>
    <w:p w14:paraId="234F9D5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投标人应提交但不限于以下文件资料：</w:t>
      </w:r>
    </w:p>
    <w:p w14:paraId="234F9D59">
      <w:pPr>
        <w:pStyle w:val="142"/>
        <w:numPr>
          <w:ilvl w:val="0"/>
          <w:numId w:val="39"/>
        </w:numPr>
        <w:ind w:firstLineChars="0"/>
        <w:rPr>
          <w:i w:val="0"/>
          <w:iCs w:val="0"/>
          <w:color w:val="auto"/>
          <w:sz w:val="21"/>
          <w:szCs w:val="15"/>
          <w:highlight w:val="none"/>
        </w:rPr>
      </w:pPr>
      <w:r>
        <w:rPr>
          <w:rFonts w:hint="eastAsia"/>
          <w:i w:val="0"/>
          <w:iCs w:val="0"/>
          <w:color w:val="auto"/>
          <w:sz w:val="21"/>
          <w:szCs w:val="15"/>
          <w:highlight w:val="none"/>
        </w:rPr>
        <w:t>系统安全性、可靠性、合理性、先进性及满足用户需求等方面的分析、计算报告。</w:t>
      </w:r>
    </w:p>
    <w:p w14:paraId="234F9D5A">
      <w:pPr>
        <w:pStyle w:val="142"/>
        <w:numPr>
          <w:ilvl w:val="0"/>
          <w:numId w:val="39"/>
        </w:numPr>
        <w:ind w:firstLineChars="0"/>
        <w:rPr>
          <w:i w:val="0"/>
          <w:iCs w:val="0"/>
          <w:color w:val="auto"/>
          <w:sz w:val="21"/>
          <w:szCs w:val="15"/>
          <w:highlight w:val="none"/>
        </w:rPr>
      </w:pPr>
      <w:r>
        <w:rPr>
          <w:rFonts w:hint="eastAsia"/>
          <w:i w:val="0"/>
          <w:iCs w:val="0"/>
          <w:color w:val="auto"/>
          <w:sz w:val="21"/>
          <w:szCs w:val="15"/>
          <w:highlight w:val="none"/>
        </w:rPr>
        <w:t>系统设计文件应包括控制流程图、逻辑图、数据库定义、通信协议等。</w:t>
      </w:r>
    </w:p>
    <w:p w14:paraId="234F9D5B">
      <w:pPr>
        <w:pStyle w:val="142"/>
        <w:numPr>
          <w:ilvl w:val="0"/>
          <w:numId w:val="39"/>
        </w:numPr>
        <w:ind w:firstLineChars="0"/>
        <w:rPr>
          <w:i w:val="0"/>
          <w:iCs w:val="0"/>
          <w:color w:val="auto"/>
          <w:sz w:val="21"/>
          <w:szCs w:val="15"/>
          <w:highlight w:val="none"/>
        </w:rPr>
      </w:pPr>
      <w:r>
        <w:rPr>
          <w:rFonts w:hint="eastAsia"/>
          <w:i w:val="0"/>
          <w:iCs w:val="0"/>
          <w:color w:val="auto"/>
          <w:sz w:val="21"/>
          <w:szCs w:val="15"/>
          <w:highlight w:val="none"/>
        </w:rPr>
        <w:t>提交的手册应包括各类系统操作手册、软件手册、安装手册、调试手册、维护手册、开发手册等。</w:t>
      </w:r>
    </w:p>
    <w:p w14:paraId="234F9D5C">
      <w:pPr>
        <w:pStyle w:val="142"/>
        <w:numPr>
          <w:ilvl w:val="0"/>
          <w:numId w:val="39"/>
        </w:numPr>
        <w:ind w:firstLineChars="0"/>
        <w:rPr>
          <w:i w:val="0"/>
          <w:iCs w:val="0"/>
          <w:color w:val="auto"/>
          <w:sz w:val="21"/>
          <w:szCs w:val="15"/>
          <w:highlight w:val="none"/>
        </w:rPr>
      </w:pPr>
      <w:r>
        <w:rPr>
          <w:rFonts w:hint="eastAsia"/>
          <w:i w:val="0"/>
          <w:iCs w:val="0"/>
          <w:color w:val="auto"/>
          <w:sz w:val="21"/>
          <w:szCs w:val="15"/>
          <w:highlight w:val="none"/>
        </w:rPr>
        <w:t>提交软件开发设计、硬件制造、出厂检验、安装、单体调试、联调、开通各阶段的调试报告、检测程序、验收证书格式等文件。</w:t>
      </w:r>
    </w:p>
    <w:p w14:paraId="234F9D5D">
      <w:pPr>
        <w:pStyle w:val="142"/>
        <w:numPr>
          <w:ilvl w:val="0"/>
          <w:numId w:val="39"/>
        </w:numPr>
        <w:ind w:firstLineChars="0"/>
        <w:rPr>
          <w:i w:val="0"/>
          <w:iCs w:val="0"/>
          <w:color w:val="auto"/>
          <w:sz w:val="21"/>
          <w:szCs w:val="15"/>
          <w:highlight w:val="none"/>
        </w:rPr>
      </w:pPr>
      <w:r>
        <w:rPr>
          <w:rFonts w:hint="eastAsia"/>
          <w:i w:val="0"/>
          <w:iCs w:val="0"/>
          <w:color w:val="auto"/>
          <w:sz w:val="21"/>
          <w:szCs w:val="15"/>
          <w:highlight w:val="none"/>
        </w:rPr>
        <w:t>所有产品应提交合格证。</w:t>
      </w:r>
    </w:p>
    <w:p w14:paraId="234F9D5E">
      <w:pPr>
        <w:pStyle w:val="142"/>
        <w:numPr>
          <w:ilvl w:val="0"/>
          <w:numId w:val="39"/>
        </w:numPr>
        <w:ind w:firstLineChars="0"/>
        <w:rPr>
          <w:i w:val="0"/>
          <w:iCs w:val="0"/>
          <w:color w:val="auto"/>
          <w:sz w:val="21"/>
          <w:szCs w:val="15"/>
          <w:highlight w:val="none"/>
        </w:rPr>
      </w:pPr>
      <w:r>
        <w:rPr>
          <w:rFonts w:hint="eastAsia"/>
          <w:i w:val="0"/>
          <w:iCs w:val="0"/>
          <w:color w:val="auto"/>
          <w:sz w:val="21"/>
          <w:szCs w:val="15"/>
          <w:highlight w:val="none"/>
        </w:rPr>
        <w:t>所有文件应订装完好成册。</w:t>
      </w:r>
    </w:p>
    <w:p w14:paraId="234F9D5F">
      <w:pPr>
        <w:pStyle w:val="142"/>
        <w:numPr>
          <w:ilvl w:val="0"/>
          <w:numId w:val="39"/>
        </w:numPr>
        <w:ind w:firstLineChars="0"/>
        <w:rPr>
          <w:i w:val="0"/>
          <w:iCs w:val="0"/>
          <w:color w:val="auto"/>
          <w:sz w:val="21"/>
          <w:szCs w:val="15"/>
          <w:highlight w:val="none"/>
        </w:rPr>
      </w:pPr>
      <w:r>
        <w:rPr>
          <w:rFonts w:hint="eastAsia"/>
          <w:i w:val="0"/>
          <w:iCs w:val="0"/>
          <w:color w:val="auto"/>
          <w:sz w:val="21"/>
          <w:szCs w:val="15"/>
          <w:highlight w:val="none"/>
        </w:rPr>
        <w:t>所有文件应有统一的文件编号、分类，文件提交时同时应附有文件清单。</w:t>
      </w:r>
    </w:p>
    <w:p w14:paraId="234F9D60">
      <w:pPr>
        <w:pStyle w:val="142"/>
        <w:numPr>
          <w:ilvl w:val="0"/>
          <w:numId w:val="39"/>
        </w:numPr>
        <w:ind w:firstLineChars="0"/>
        <w:rPr>
          <w:i w:val="0"/>
          <w:iCs w:val="0"/>
          <w:color w:val="auto"/>
          <w:sz w:val="21"/>
          <w:szCs w:val="15"/>
          <w:highlight w:val="none"/>
        </w:rPr>
      </w:pPr>
      <w:r>
        <w:rPr>
          <w:rFonts w:hint="eastAsia"/>
          <w:i w:val="0"/>
          <w:iCs w:val="0"/>
          <w:color w:val="auto"/>
          <w:sz w:val="21"/>
          <w:szCs w:val="15"/>
          <w:highlight w:val="none"/>
        </w:rPr>
        <w:t>系统集成过程中所涉及的标准，如相关的国标、IEC标准等。</w:t>
      </w:r>
    </w:p>
    <w:p w14:paraId="234F9D61">
      <w:pPr>
        <w:pStyle w:val="142"/>
        <w:numPr>
          <w:ilvl w:val="0"/>
          <w:numId w:val="39"/>
        </w:numPr>
        <w:ind w:firstLineChars="0"/>
        <w:rPr>
          <w:i w:val="0"/>
          <w:iCs w:val="0"/>
          <w:color w:val="auto"/>
          <w:sz w:val="21"/>
          <w:szCs w:val="15"/>
          <w:highlight w:val="none"/>
        </w:rPr>
      </w:pPr>
      <w:r>
        <w:rPr>
          <w:rFonts w:hint="eastAsia"/>
          <w:i w:val="0"/>
          <w:iCs w:val="0"/>
          <w:color w:val="auto"/>
          <w:sz w:val="21"/>
          <w:szCs w:val="15"/>
          <w:highlight w:val="none"/>
        </w:rPr>
        <w:t>系统集成各阶段质量保证、质量控制、质量管理以及进度控制等报告，供招标人检查督促。</w:t>
      </w:r>
    </w:p>
    <w:p w14:paraId="234F9D62">
      <w:pPr>
        <w:pStyle w:val="142"/>
        <w:ind w:firstLine="420"/>
        <w:rPr>
          <w:i w:val="0"/>
          <w:iCs w:val="0"/>
          <w:color w:val="auto"/>
          <w:sz w:val="21"/>
          <w:szCs w:val="15"/>
          <w:highlight w:val="none"/>
        </w:rPr>
      </w:pPr>
      <w:r>
        <w:rPr>
          <w:rFonts w:hint="eastAsia"/>
          <w:i w:val="0"/>
          <w:iCs w:val="0"/>
          <w:color w:val="auto"/>
          <w:sz w:val="21"/>
          <w:szCs w:val="15"/>
          <w:highlight w:val="none"/>
        </w:rPr>
        <w:t>投标人应根据招标人上述要求，在投标时详细提出文件资料提交，包括提交时间的建议书。</w:t>
      </w:r>
    </w:p>
    <w:p w14:paraId="234F9D63">
      <w:pPr>
        <w:pStyle w:val="142"/>
        <w:ind w:firstLine="420"/>
        <w:rPr>
          <w:i w:val="0"/>
          <w:iCs w:val="0"/>
          <w:color w:val="auto"/>
          <w:sz w:val="21"/>
          <w:szCs w:val="15"/>
          <w:highlight w:val="none"/>
        </w:rPr>
      </w:pPr>
      <w:r>
        <w:rPr>
          <w:rFonts w:hint="eastAsia"/>
          <w:i w:val="0"/>
          <w:iCs w:val="0"/>
          <w:color w:val="auto"/>
          <w:sz w:val="21"/>
          <w:szCs w:val="15"/>
          <w:highlight w:val="none"/>
        </w:rPr>
        <w:t>投标人将在合同期应以中文或中英文对照文本型式交付下表技术文件资料（不限于此），同时各提供至少10份电子文件。</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4"/>
        <w:gridCol w:w="5670"/>
        <w:gridCol w:w="1809"/>
      </w:tblGrid>
      <w:tr w14:paraId="234F9D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874" w:type="dxa"/>
            <w:vAlign w:val="center"/>
          </w:tcPr>
          <w:p w14:paraId="234F9D64">
            <w:pPr>
              <w:pStyle w:val="143"/>
              <w:rPr>
                <w:i w:val="0"/>
                <w:iCs w:val="0"/>
                <w:color w:val="auto"/>
                <w:sz w:val="21"/>
                <w:szCs w:val="21"/>
                <w:highlight w:val="none"/>
              </w:rPr>
            </w:pPr>
            <w:r>
              <w:rPr>
                <w:rFonts w:hint="eastAsia"/>
                <w:i w:val="0"/>
                <w:iCs w:val="0"/>
                <w:color w:val="auto"/>
                <w:sz w:val="21"/>
                <w:szCs w:val="21"/>
                <w:highlight w:val="none"/>
              </w:rPr>
              <w:t>序号</w:t>
            </w:r>
          </w:p>
        </w:tc>
        <w:tc>
          <w:tcPr>
            <w:tcW w:w="5670" w:type="dxa"/>
            <w:vAlign w:val="center"/>
          </w:tcPr>
          <w:p w14:paraId="234F9D65">
            <w:pPr>
              <w:pStyle w:val="143"/>
              <w:rPr>
                <w:i w:val="0"/>
                <w:iCs w:val="0"/>
                <w:color w:val="auto"/>
                <w:sz w:val="21"/>
                <w:szCs w:val="21"/>
                <w:highlight w:val="none"/>
              </w:rPr>
            </w:pPr>
            <w:r>
              <w:rPr>
                <w:rFonts w:hint="eastAsia"/>
                <w:i w:val="0"/>
                <w:iCs w:val="0"/>
                <w:color w:val="auto"/>
                <w:sz w:val="21"/>
                <w:szCs w:val="21"/>
                <w:highlight w:val="none"/>
              </w:rPr>
              <w:t>名称</w:t>
            </w:r>
          </w:p>
        </w:tc>
        <w:tc>
          <w:tcPr>
            <w:tcW w:w="1809" w:type="dxa"/>
            <w:vAlign w:val="center"/>
          </w:tcPr>
          <w:p w14:paraId="234F9D66">
            <w:pPr>
              <w:pStyle w:val="143"/>
              <w:rPr>
                <w:i w:val="0"/>
                <w:iCs w:val="0"/>
                <w:color w:val="auto"/>
                <w:sz w:val="21"/>
                <w:szCs w:val="21"/>
                <w:highlight w:val="none"/>
              </w:rPr>
            </w:pPr>
            <w:r>
              <w:rPr>
                <w:rFonts w:hint="eastAsia"/>
                <w:i w:val="0"/>
                <w:iCs w:val="0"/>
                <w:color w:val="auto"/>
                <w:sz w:val="21"/>
                <w:szCs w:val="21"/>
                <w:highlight w:val="none"/>
              </w:rPr>
              <w:t>数量（份</w:t>
            </w:r>
            <w:r>
              <w:rPr>
                <w:i w:val="0"/>
                <w:iCs w:val="0"/>
                <w:color w:val="auto"/>
                <w:sz w:val="21"/>
                <w:szCs w:val="21"/>
                <w:highlight w:val="none"/>
              </w:rPr>
              <w:t>/</w:t>
            </w:r>
            <w:r>
              <w:rPr>
                <w:rFonts w:hint="eastAsia"/>
                <w:i w:val="0"/>
                <w:iCs w:val="0"/>
                <w:color w:val="auto"/>
                <w:sz w:val="21"/>
                <w:szCs w:val="21"/>
                <w:highlight w:val="none"/>
              </w:rPr>
              <w:t>套）</w:t>
            </w:r>
          </w:p>
        </w:tc>
      </w:tr>
      <w:tr w14:paraId="234F9D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68">
            <w:pPr>
              <w:pStyle w:val="143"/>
              <w:rPr>
                <w:i w:val="0"/>
                <w:iCs w:val="0"/>
                <w:color w:val="auto"/>
                <w:sz w:val="21"/>
                <w:szCs w:val="21"/>
                <w:highlight w:val="none"/>
              </w:rPr>
            </w:pPr>
            <w:r>
              <w:rPr>
                <w:i w:val="0"/>
                <w:iCs w:val="0"/>
                <w:color w:val="auto"/>
                <w:sz w:val="21"/>
                <w:szCs w:val="21"/>
                <w:highlight w:val="none"/>
              </w:rPr>
              <w:t>1</w:t>
            </w:r>
          </w:p>
        </w:tc>
        <w:tc>
          <w:tcPr>
            <w:tcW w:w="5670" w:type="dxa"/>
            <w:vAlign w:val="center"/>
          </w:tcPr>
          <w:p w14:paraId="234F9D69">
            <w:pPr>
              <w:pStyle w:val="143"/>
              <w:rPr>
                <w:i w:val="0"/>
                <w:iCs w:val="0"/>
                <w:color w:val="auto"/>
                <w:sz w:val="21"/>
                <w:szCs w:val="21"/>
                <w:highlight w:val="none"/>
              </w:rPr>
            </w:pPr>
            <w:r>
              <w:rPr>
                <w:rFonts w:hint="eastAsia"/>
                <w:i w:val="0"/>
                <w:iCs w:val="0"/>
                <w:color w:val="auto"/>
                <w:sz w:val="21"/>
                <w:szCs w:val="21"/>
                <w:highlight w:val="none"/>
              </w:rPr>
              <w:t>质量保证手册</w:t>
            </w:r>
          </w:p>
        </w:tc>
        <w:tc>
          <w:tcPr>
            <w:tcW w:w="1809" w:type="dxa"/>
            <w:vAlign w:val="center"/>
          </w:tcPr>
          <w:p w14:paraId="234F9D6A">
            <w:pPr>
              <w:pStyle w:val="143"/>
              <w:rPr>
                <w:i w:val="0"/>
                <w:iCs w:val="0"/>
                <w:color w:val="auto"/>
                <w:sz w:val="21"/>
                <w:szCs w:val="21"/>
                <w:highlight w:val="none"/>
              </w:rPr>
            </w:pPr>
            <w:r>
              <w:rPr>
                <w:rFonts w:hint="eastAsia"/>
                <w:i w:val="0"/>
                <w:iCs w:val="0"/>
                <w:color w:val="auto"/>
                <w:sz w:val="21"/>
                <w:szCs w:val="21"/>
                <w:highlight w:val="none"/>
              </w:rPr>
              <w:t>10</w:t>
            </w:r>
          </w:p>
        </w:tc>
      </w:tr>
      <w:tr w14:paraId="234F9D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6C">
            <w:pPr>
              <w:pStyle w:val="143"/>
              <w:rPr>
                <w:i w:val="0"/>
                <w:iCs w:val="0"/>
                <w:color w:val="auto"/>
                <w:sz w:val="21"/>
                <w:szCs w:val="21"/>
                <w:highlight w:val="none"/>
              </w:rPr>
            </w:pPr>
            <w:r>
              <w:rPr>
                <w:i w:val="0"/>
                <w:iCs w:val="0"/>
                <w:color w:val="auto"/>
                <w:sz w:val="21"/>
                <w:szCs w:val="21"/>
                <w:highlight w:val="none"/>
              </w:rPr>
              <w:t>2</w:t>
            </w:r>
          </w:p>
        </w:tc>
        <w:tc>
          <w:tcPr>
            <w:tcW w:w="5670" w:type="dxa"/>
            <w:vAlign w:val="center"/>
          </w:tcPr>
          <w:p w14:paraId="234F9D6D">
            <w:pPr>
              <w:pStyle w:val="143"/>
              <w:rPr>
                <w:i w:val="0"/>
                <w:iCs w:val="0"/>
                <w:color w:val="auto"/>
                <w:sz w:val="21"/>
                <w:szCs w:val="21"/>
                <w:highlight w:val="none"/>
              </w:rPr>
            </w:pPr>
            <w:r>
              <w:rPr>
                <w:rFonts w:hint="eastAsia"/>
                <w:i w:val="0"/>
                <w:iCs w:val="0"/>
                <w:color w:val="auto"/>
                <w:sz w:val="21"/>
                <w:szCs w:val="21"/>
                <w:highlight w:val="none"/>
              </w:rPr>
              <w:t>功能规格书初步设计</w:t>
            </w:r>
          </w:p>
        </w:tc>
        <w:tc>
          <w:tcPr>
            <w:tcW w:w="1809" w:type="dxa"/>
            <w:vAlign w:val="center"/>
          </w:tcPr>
          <w:p w14:paraId="234F9D6E">
            <w:pPr>
              <w:pStyle w:val="143"/>
              <w:rPr>
                <w:i w:val="0"/>
                <w:iCs w:val="0"/>
                <w:color w:val="auto"/>
                <w:sz w:val="21"/>
                <w:szCs w:val="21"/>
                <w:highlight w:val="none"/>
              </w:rPr>
            </w:pPr>
            <w:r>
              <w:rPr>
                <w:rFonts w:hint="eastAsia"/>
                <w:i w:val="0"/>
                <w:iCs w:val="0"/>
                <w:color w:val="auto"/>
                <w:sz w:val="21"/>
                <w:szCs w:val="21"/>
                <w:highlight w:val="none"/>
              </w:rPr>
              <w:t>10</w:t>
            </w:r>
          </w:p>
        </w:tc>
      </w:tr>
      <w:tr w14:paraId="234F9D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70">
            <w:pPr>
              <w:pStyle w:val="143"/>
              <w:rPr>
                <w:i w:val="0"/>
                <w:iCs w:val="0"/>
                <w:color w:val="auto"/>
                <w:sz w:val="21"/>
                <w:szCs w:val="21"/>
                <w:highlight w:val="none"/>
              </w:rPr>
            </w:pPr>
            <w:r>
              <w:rPr>
                <w:i w:val="0"/>
                <w:iCs w:val="0"/>
                <w:color w:val="auto"/>
                <w:sz w:val="21"/>
                <w:szCs w:val="21"/>
                <w:highlight w:val="none"/>
              </w:rPr>
              <w:t>3</w:t>
            </w:r>
          </w:p>
        </w:tc>
        <w:tc>
          <w:tcPr>
            <w:tcW w:w="5670" w:type="dxa"/>
            <w:vAlign w:val="center"/>
          </w:tcPr>
          <w:p w14:paraId="234F9D71">
            <w:pPr>
              <w:pStyle w:val="143"/>
              <w:rPr>
                <w:i w:val="0"/>
                <w:iCs w:val="0"/>
                <w:color w:val="auto"/>
                <w:sz w:val="21"/>
                <w:szCs w:val="21"/>
                <w:highlight w:val="none"/>
              </w:rPr>
            </w:pPr>
            <w:r>
              <w:rPr>
                <w:rFonts w:hint="eastAsia"/>
                <w:i w:val="0"/>
                <w:iCs w:val="0"/>
                <w:color w:val="auto"/>
                <w:sz w:val="21"/>
                <w:szCs w:val="21"/>
                <w:highlight w:val="none"/>
              </w:rPr>
              <w:t>功能规格书最终设计</w:t>
            </w:r>
          </w:p>
        </w:tc>
        <w:tc>
          <w:tcPr>
            <w:tcW w:w="1809" w:type="dxa"/>
            <w:vAlign w:val="center"/>
          </w:tcPr>
          <w:p w14:paraId="234F9D72">
            <w:pPr>
              <w:pStyle w:val="143"/>
              <w:rPr>
                <w:i w:val="0"/>
                <w:iCs w:val="0"/>
                <w:color w:val="auto"/>
                <w:sz w:val="21"/>
                <w:szCs w:val="21"/>
                <w:highlight w:val="none"/>
              </w:rPr>
            </w:pPr>
            <w:r>
              <w:rPr>
                <w:rFonts w:hint="eastAsia"/>
                <w:i w:val="0"/>
                <w:iCs w:val="0"/>
                <w:color w:val="auto"/>
                <w:sz w:val="21"/>
                <w:szCs w:val="21"/>
                <w:highlight w:val="none"/>
              </w:rPr>
              <w:t>10</w:t>
            </w:r>
          </w:p>
        </w:tc>
      </w:tr>
      <w:tr w14:paraId="234F9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74">
            <w:pPr>
              <w:pStyle w:val="143"/>
              <w:rPr>
                <w:i w:val="0"/>
                <w:iCs w:val="0"/>
                <w:color w:val="auto"/>
                <w:sz w:val="21"/>
                <w:szCs w:val="21"/>
                <w:highlight w:val="none"/>
              </w:rPr>
            </w:pPr>
            <w:r>
              <w:rPr>
                <w:rFonts w:hint="eastAsia"/>
                <w:i w:val="0"/>
                <w:iCs w:val="0"/>
                <w:color w:val="auto"/>
                <w:sz w:val="21"/>
                <w:szCs w:val="21"/>
                <w:highlight w:val="none"/>
              </w:rPr>
              <w:t>4</w:t>
            </w:r>
          </w:p>
        </w:tc>
        <w:tc>
          <w:tcPr>
            <w:tcW w:w="5670" w:type="dxa"/>
            <w:vAlign w:val="center"/>
          </w:tcPr>
          <w:p w14:paraId="234F9D75">
            <w:pPr>
              <w:pStyle w:val="143"/>
              <w:rPr>
                <w:i w:val="0"/>
                <w:iCs w:val="0"/>
                <w:color w:val="auto"/>
                <w:sz w:val="21"/>
                <w:szCs w:val="21"/>
                <w:highlight w:val="none"/>
              </w:rPr>
            </w:pPr>
            <w:r>
              <w:rPr>
                <w:rFonts w:hint="eastAsia"/>
                <w:i w:val="0"/>
                <w:iCs w:val="0"/>
                <w:color w:val="auto"/>
                <w:sz w:val="21"/>
                <w:szCs w:val="21"/>
                <w:highlight w:val="none"/>
              </w:rPr>
              <w:t>安装图和安装手册</w:t>
            </w:r>
          </w:p>
        </w:tc>
        <w:tc>
          <w:tcPr>
            <w:tcW w:w="1809" w:type="dxa"/>
            <w:vAlign w:val="center"/>
          </w:tcPr>
          <w:p w14:paraId="234F9D76">
            <w:pPr>
              <w:pStyle w:val="143"/>
              <w:rPr>
                <w:i w:val="0"/>
                <w:iCs w:val="0"/>
                <w:color w:val="auto"/>
                <w:sz w:val="21"/>
                <w:szCs w:val="21"/>
                <w:highlight w:val="none"/>
              </w:rPr>
            </w:pPr>
            <w:r>
              <w:rPr>
                <w:rFonts w:hint="eastAsia"/>
                <w:i w:val="0"/>
                <w:iCs w:val="0"/>
                <w:color w:val="auto"/>
                <w:sz w:val="21"/>
                <w:szCs w:val="21"/>
                <w:highlight w:val="none"/>
              </w:rPr>
              <w:t>10</w:t>
            </w:r>
          </w:p>
        </w:tc>
      </w:tr>
      <w:tr w14:paraId="234F9D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78">
            <w:pPr>
              <w:pStyle w:val="143"/>
              <w:rPr>
                <w:i w:val="0"/>
                <w:iCs w:val="0"/>
                <w:color w:val="auto"/>
                <w:sz w:val="21"/>
                <w:szCs w:val="21"/>
                <w:highlight w:val="none"/>
              </w:rPr>
            </w:pPr>
            <w:r>
              <w:rPr>
                <w:i w:val="0"/>
                <w:iCs w:val="0"/>
                <w:color w:val="auto"/>
                <w:sz w:val="21"/>
                <w:szCs w:val="21"/>
                <w:highlight w:val="none"/>
              </w:rPr>
              <w:t>5</w:t>
            </w:r>
          </w:p>
        </w:tc>
        <w:tc>
          <w:tcPr>
            <w:tcW w:w="5670" w:type="dxa"/>
            <w:vAlign w:val="center"/>
          </w:tcPr>
          <w:p w14:paraId="234F9D79">
            <w:pPr>
              <w:pStyle w:val="143"/>
              <w:rPr>
                <w:i w:val="0"/>
                <w:iCs w:val="0"/>
                <w:color w:val="auto"/>
                <w:sz w:val="21"/>
                <w:szCs w:val="21"/>
                <w:highlight w:val="none"/>
              </w:rPr>
            </w:pPr>
            <w:r>
              <w:rPr>
                <w:rFonts w:hint="eastAsia"/>
                <w:i w:val="0"/>
                <w:iCs w:val="0"/>
                <w:color w:val="auto"/>
                <w:sz w:val="21"/>
                <w:szCs w:val="21"/>
                <w:highlight w:val="none"/>
              </w:rPr>
              <w:t>系统构成图、网络配置文件、设备结构图、软件说明及软件清单</w:t>
            </w:r>
          </w:p>
        </w:tc>
        <w:tc>
          <w:tcPr>
            <w:tcW w:w="1809" w:type="dxa"/>
            <w:vAlign w:val="center"/>
          </w:tcPr>
          <w:p w14:paraId="234F9D7A">
            <w:pPr>
              <w:pStyle w:val="143"/>
              <w:rPr>
                <w:i w:val="0"/>
                <w:iCs w:val="0"/>
                <w:color w:val="auto"/>
                <w:sz w:val="21"/>
                <w:szCs w:val="21"/>
                <w:highlight w:val="none"/>
              </w:rPr>
            </w:pPr>
            <w:r>
              <w:rPr>
                <w:rFonts w:hint="eastAsia"/>
                <w:i w:val="0"/>
                <w:iCs w:val="0"/>
                <w:color w:val="auto"/>
                <w:sz w:val="21"/>
                <w:szCs w:val="21"/>
                <w:highlight w:val="none"/>
              </w:rPr>
              <w:t>10</w:t>
            </w:r>
          </w:p>
        </w:tc>
      </w:tr>
      <w:tr w14:paraId="234F9D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7C">
            <w:pPr>
              <w:pStyle w:val="143"/>
              <w:rPr>
                <w:i w:val="0"/>
                <w:iCs w:val="0"/>
                <w:color w:val="auto"/>
                <w:sz w:val="21"/>
                <w:szCs w:val="21"/>
                <w:highlight w:val="none"/>
              </w:rPr>
            </w:pPr>
            <w:r>
              <w:rPr>
                <w:i w:val="0"/>
                <w:iCs w:val="0"/>
                <w:color w:val="auto"/>
                <w:sz w:val="21"/>
                <w:szCs w:val="21"/>
                <w:highlight w:val="none"/>
              </w:rPr>
              <w:t>6</w:t>
            </w:r>
          </w:p>
        </w:tc>
        <w:tc>
          <w:tcPr>
            <w:tcW w:w="5670" w:type="dxa"/>
            <w:vAlign w:val="center"/>
          </w:tcPr>
          <w:p w14:paraId="234F9D7D">
            <w:pPr>
              <w:pStyle w:val="143"/>
              <w:rPr>
                <w:i w:val="0"/>
                <w:iCs w:val="0"/>
                <w:color w:val="auto"/>
                <w:sz w:val="21"/>
                <w:szCs w:val="21"/>
                <w:highlight w:val="none"/>
              </w:rPr>
            </w:pPr>
            <w:r>
              <w:rPr>
                <w:rFonts w:hint="eastAsia"/>
                <w:i w:val="0"/>
                <w:iCs w:val="0"/>
                <w:color w:val="auto"/>
                <w:sz w:val="21"/>
                <w:szCs w:val="21"/>
                <w:highlight w:val="none"/>
              </w:rPr>
              <w:t>采用技术标准</w:t>
            </w:r>
          </w:p>
        </w:tc>
        <w:tc>
          <w:tcPr>
            <w:tcW w:w="1809" w:type="dxa"/>
            <w:vAlign w:val="center"/>
          </w:tcPr>
          <w:p w14:paraId="234F9D7E">
            <w:pPr>
              <w:pStyle w:val="143"/>
              <w:rPr>
                <w:i w:val="0"/>
                <w:iCs w:val="0"/>
                <w:color w:val="auto"/>
                <w:sz w:val="21"/>
                <w:szCs w:val="21"/>
                <w:highlight w:val="none"/>
              </w:rPr>
            </w:pPr>
            <w:r>
              <w:rPr>
                <w:rFonts w:hint="eastAsia"/>
                <w:i w:val="0"/>
                <w:iCs w:val="0"/>
                <w:color w:val="auto"/>
                <w:sz w:val="21"/>
                <w:szCs w:val="21"/>
                <w:highlight w:val="none"/>
              </w:rPr>
              <w:t>10</w:t>
            </w:r>
          </w:p>
        </w:tc>
      </w:tr>
      <w:tr w14:paraId="234F9D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80">
            <w:pPr>
              <w:pStyle w:val="143"/>
              <w:rPr>
                <w:i w:val="0"/>
                <w:iCs w:val="0"/>
                <w:color w:val="auto"/>
                <w:sz w:val="21"/>
                <w:szCs w:val="21"/>
                <w:highlight w:val="none"/>
              </w:rPr>
            </w:pPr>
            <w:r>
              <w:rPr>
                <w:i w:val="0"/>
                <w:iCs w:val="0"/>
                <w:color w:val="auto"/>
                <w:sz w:val="21"/>
                <w:szCs w:val="21"/>
                <w:highlight w:val="none"/>
              </w:rPr>
              <w:t>7</w:t>
            </w:r>
          </w:p>
        </w:tc>
        <w:tc>
          <w:tcPr>
            <w:tcW w:w="5670" w:type="dxa"/>
            <w:vAlign w:val="center"/>
          </w:tcPr>
          <w:p w14:paraId="234F9D81">
            <w:pPr>
              <w:pStyle w:val="143"/>
              <w:rPr>
                <w:i w:val="0"/>
                <w:iCs w:val="0"/>
                <w:color w:val="auto"/>
                <w:sz w:val="21"/>
                <w:szCs w:val="21"/>
                <w:highlight w:val="none"/>
              </w:rPr>
            </w:pPr>
            <w:r>
              <w:rPr>
                <w:rFonts w:hint="eastAsia"/>
                <w:i w:val="0"/>
                <w:iCs w:val="0"/>
                <w:color w:val="auto"/>
                <w:sz w:val="21"/>
                <w:szCs w:val="21"/>
                <w:highlight w:val="none"/>
              </w:rPr>
              <w:t>工厂测试报告</w:t>
            </w:r>
          </w:p>
        </w:tc>
        <w:tc>
          <w:tcPr>
            <w:tcW w:w="1809" w:type="dxa"/>
            <w:vAlign w:val="center"/>
          </w:tcPr>
          <w:p w14:paraId="234F9D82">
            <w:pPr>
              <w:pStyle w:val="143"/>
              <w:rPr>
                <w:i w:val="0"/>
                <w:iCs w:val="0"/>
                <w:color w:val="auto"/>
                <w:sz w:val="21"/>
                <w:szCs w:val="21"/>
                <w:highlight w:val="none"/>
              </w:rPr>
            </w:pPr>
            <w:r>
              <w:rPr>
                <w:rFonts w:hint="eastAsia"/>
                <w:i w:val="0"/>
                <w:iCs w:val="0"/>
                <w:color w:val="auto"/>
                <w:sz w:val="21"/>
                <w:szCs w:val="21"/>
                <w:highlight w:val="none"/>
              </w:rPr>
              <w:t>10</w:t>
            </w:r>
          </w:p>
        </w:tc>
      </w:tr>
      <w:tr w14:paraId="234F9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84">
            <w:pPr>
              <w:pStyle w:val="143"/>
              <w:rPr>
                <w:i w:val="0"/>
                <w:iCs w:val="0"/>
                <w:color w:val="auto"/>
                <w:sz w:val="21"/>
                <w:szCs w:val="21"/>
                <w:highlight w:val="none"/>
              </w:rPr>
            </w:pPr>
            <w:r>
              <w:rPr>
                <w:i w:val="0"/>
                <w:iCs w:val="0"/>
                <w:color w:val="auto"/>
                <w:sz w:val="21"/>
                <w:szCs w:val="21"/>
                <w:highlight w:val="none"/>
              </w:rPr>
              <w:t>8</w:t>
            </w:r>
          </w:p>
        </w:tc>
        <w:tc>
          <w:tcPr>
            <w:tcW w:w="5670" w:type="dxa"/>
            <w:vAlign w:val="center"/>
          </w:tcPr>
          <w:p w14:paraId="234F9D85">
            <w:pPr>
              <w:pStyle w:val="143"/>
              <w:rPr>
                <w:i w:val="0"/>
                <w:iCs w:val="0"/>
                <w:color w:val="auto"/>
                <w:sz w:val="21"/>
                <w:szCs w:val="21"/>
                <w:highlight w:val="none"/>
              </w:rPr>
            </w:pPr>
            <w:r>
              <w:rPr>
                <w:rFonts w:hint="eastAsia"/>
                <w:i w:val="0"/>
                <w:iCs w:val="0"/>
                <w:color w:val="auto"/>
                <w:sz w:val="21"/>
                <w:szCs w:val="21"/>
                <w:highlight w:val="none"/>
              </w:rPr>
              <w:t>车站系统测试报告</w:t>
            </w:r>
          </w:p>
        </w:tc>
        <w:tc>
          <w:tcPr>
            <w:tcW w:w="1809" w:type="dxa"/>
            <w:vAlign w:val="center"/>
          </w:tcPr>
          <w:p w14:paraId="234F9D86">
            <w:pPr>
              <w:pStyle w:val="143"/>
              <w:rPr>
                <w:i w:val="0"/>
                <w:iCs w:val="0"/>
                <w:color w:val="auto"/>
                <w:sz w:val="21"/>
                <w:szCs w:val="21"/>
                <w:highlight w:val="none"/>
              </w:rPr>
            </w:pPr>
            <w:r>
              <w:rPr>
                <w:rFonts w:hint="eastAsia"/>
                <w:i w:val="0"/>
                <w:iCs w:val="0"/>
                <w:color w:val="auto"/>
                <w:sz w:val="21"/>
                <w:szCs w:val="21"/>
                <w:highlight w:val="none"/>
              </w:rPr>
              <w:t>10</w:t>
            </w:r>
          </w:p>
        </w:tc>
      </w:tr>
      <w:tr w14:paraId="234F9D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88">
            <w:pPr>
              <w:pStyle w:val="143"/>
              <w:rPr>
                <w:i w:val="0"/>
                <w:iCs w:val="0"/>
                <w:color w:val="auto"/>
                <w:sz w:val="21"/>
                <w:szCs w:val="21"/>
                <w:highlight w:val="none"/>
              </w:rPr>
            </w:pPr>
            <w:r>
              <w:rPr>
                <w:i w:val="0"/>
                <w:iCs w:val="0"/>
                <w:color w:val="auto"/>
                <w:sz w:val="21"/>
                <w:szCs w:val="21"/>
                <w:highlight w:val="none"/>
              </w:rPr>
              <w:t>9</w:t>
            </w:r>
          </w:p>
        </w:tc>
        <w:tc>
          <w:tcPr>
            <w:tcW w:w="5670" w:type="dxa"/>
            <w:vAlign w:val="center"/>
          </w:tcPr>
          <w:p w14:paraId="234F9D89">
            <w:pPr>
              <w:pStyle w:val="143"/>
              <w:rPr>
                <w:i w:val="0"/>
                <w:iCs w:val="0"/>
                <w:color w:val="auto"/>
                <w:sz w:val="21"/>
                <w:szCs w:val="21"/>
                <w:highlight w:val="none"/>
              </w:rPr>
            </w:pPr>
            <w:r>
              <w:rPr>
                <w:rFonts w:hint="eastAsia"/>
                <w:i w:val="0"/>
                <w:iCs w:val="0"/>
                <w:color w:val="auto"/>
                <w:sz w:val="21"/>
                <w:szCs w:val="21"/>
                <w:highlight w:val="none"/>
              </w:rPr>
              <w:t>联调测试报告</w:t>
            </w:r>
          </w:p>
        </w:tc>
        <w:tc>
          <w:tcPr>
            <w:tcW w:w="1809" w:type="dxa"/>
            <w:vAlign w:val="center"/>
          </w:tcPr>
          <w:p w14:paraId="234F9D8A">
            <w:pPr>
              <w:pStyle w:val="143"/>
              <w:rPr>
                <w:i w:val="0"/>
                <w:iCs w:val="0"/>
                <w:color w:val="auto"/>
                <w:sz w:val="21"/>
                <w:szCs w:val="21"/>
                <w:highlight w:val="none"/>
              </w:rPr>
            </w:pPr>
            <w:r>
              <w:rPr>
                <w:rFonts w:hint="eastAsia"/>
                <w:i w:val="0"/>
                <w:iCs w:val="0"/>
                <w:color w:val="auto"/>
                <w:sz w:val="21"/>
                <w:szCs w:val="21"/>
                <w:highlight w:val="none"/>
              </w:rPr>
              <w:t>10</w:t>
            </w:r>
          </w:p>
        </w:tc>
      </w:tr>
      <w:tr w14:paraId="234F9D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8C">
            <w:pPr>
              <w:pStyle w:val="143"/>
              <w:rPr>
                <w:i w:val="0"/>
                <w:iCs w:val="0"/>
                <w:color w:val="auto"/>
                <w:sz w:val="21"/>
                <w:szCs w:val="21"/>
                <w:highlight w:val="none"/>
              </w:rPr>
            </w:pPr>
            <w:r>
              <w:rPr>
                <w:i w:val="0"/>
                <w:iCs w:val="0"/>
                <w:color w:val="auto"/>
                <w:sz w:val="21"/>
                <w:szCs w:val="21"/>
                <w:highlight w:val="none"/>
              </w:rPr>
              <w:t>1</w:t>
            </w:r>
            <w:r>
              <w:rPr>
                <w:rFonts w:hint="eastAsia"/>
                <w:i w:val="0"/>
                <w:iCs w:val="0"/>
                <w:color w:val="auto"/>
                <w:sz w:val="21"/>
                <w:szCs w:val="21"/>
                <w:highlight w:val="none"/>
              </w:rPr>
              <w:t>0</w:t>
            </w:r>
          </w:p>
        </w:tc>
        <w:tc>
          <w:tcPr>
            <w:tcW w:w="5670" w:type="dxa"/>
            <w:vAlign w:val="center"/>
          </w:tcPr>
          <w:p w14:paraId="234F9D8D">
            <w:pPr>
              <w:pStyle w:val="143"/>
              <w:rPr>
                <w:i w:val="0"/>
                <w:iCs w:val="0"/>
                <w:color w:val="auto"/>
                <w:sz w:val="21"/>
                <w:szCs w:val="21"/>
                <w:highlight w:val="none"/>
              </w:rPr>
            </w:pPr>
            <w:r>
              <w:rPr>
                <w:rFonts w:hint="eastAsia"/>
                <w:i w:val="0"/>
                <w:iCs w:val="0"/>
                <w:color w:val="auto"/>
                <w:sz w:val="21"/>
                <w:szCs w:val="21"/>
                <w:highlight w:val="none"/>
              </w:rPr>
              <w:t>设计联络记录</w:t>
            </w:r>
          </w:p>
        </w:tc>
        <w:tc>
          <w:tcPr>
            <w:tcW w:w="1809" w:type="dxa"/>
            <w:vAlign w:val="center"/>
          </w:tcPr>
          <w:p w14:paraId="234F9D8E">
            <w:pPr>
              <w:pStyle w:val="143"/>
              <w:rPr>
                <w:i w:val="0"/>
                <w:iCs w:val="0"/>
                <w:color w:val="auto"/>
                <w:sz w:val="21"/>
                <w:szCs w:val="21"/>
                <w:highlight w:val="none"/>
              </w:rPr>
            </w:pPr>
            <w:r>
              <w:rPr>
                <w:rFonts w:hint="eastAsia"/>
                <w:i w:val="0"/>
                <w:iCs w:val="0"/>
                <w:color w:val="auto"/>
                <w:sz w:val="21"/>
                <w:szCs w:val="21"/>
                <w:highlight w:val="none"/>
              </w:rPr>
              <w:t>10</w:t>
            </w:r>
          </w:p>
        </w:tc>
      </w:tr>
      <w:tr w14:paraId="234F9D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90">
            <w:pPr>
              <w:pStyle w:val="143"/>
              <w:rPr>
                <w:i w:val="0"/>
                <w:iCs w:val="0"/>
                <w:color w:val="auto"/>
                <w:sz w:val="21"/>
                <w:szCs w:val="21"/>
                <w:highlight w:val="none"/>
              </w:rPr>
            </w:pPr>
            <w:r>
              <w:rPr>
                <w:rFonts w:hint="eastAsia"/>
                <w:i w:val="0"/>
                <w:iCs w:val="0"/>
                <w:color w:val="auto"/>
                <w:sz w:val="21"/>
                <w:szCs w:val="21"/>
                <w:highlight w:val="none"/>
              </w:rPr>
              <w:t>11</w:t>
            </w:r>
          </w:p>
        </w:tc>
        <w:tc>
          <w:tcPr>
            <w:tcW w:w="5670" w:type="dxa"/>
            <w:vAlign w:val="center"/>
          </w:tcPr>
          <w:p w14:paraId="234F9D91">
            <w:pPr>
              <w:pStyle w:val="143"/>
              <w:rPr>
                <w:i w:val="0"/>
                <w:iCs w:val="0"/>
                <w:color w:val="auto"/>
                <w:sz w:val="21"/>
                <w:szCs w:val="21"/>
                <w:highlight w:val="none"/>
              </w:rPr>
            </w:pPr>
            <w:r>
              <w:rPr>
                <w:rFonts w:hint="eastAsia"/>
                <w:i w:val="0"/>
                <w:iCs w:val="0"/>
                <w:color w:val="auto"/>
                <w:sz w:val="21"/>
                <w:szCs w:val="21"/>
                <w:highlight w:val="none"/>
              </w:rPr>
              <w:t>项目管理函件和各阶段来往文件</w:t>
            </w:r>
          </w:p>
        </w:tc>
        <w:tc>
          <w:tcPr>
            <w:tcW w:w="1809" w:type="dxa"/>
            <w:vAlign w:val="center"/>
          </w:tcPr>
          <w:p w14:paraId="234F9D92">
            <w:pPr>
              <w:pStyle w:val="143"/>
              <w:rPr>
                <w:i w:val="0"/>
                <w:iCs w:val="0"/>
                <w:color w:val="auto"/>
                <w:sz w:val="21"/>
                <w:szCs w:val="21"/>
                <w:highlight w:val="none"/>
              </w:rPr>
            </w:pPr>
            <w:r>
              <w:rPr>
                <w:rFonts w:hint="eastAsia"/>
                <w:i w:val="0"/>
                <w:iCs w:val="0"/>
                <w:color w:val="auto"/>
                <w:sz w:val="21"/>
                <w:szCs w:val="21"/>
                <w:highlight w:val="none"/>
              </w:rPr>
              <w:t>10</w:t>
            </w:r>
          </w:p>
        </w:tc>
      </w:tr>
      <w:tr w14:paraId="234F9D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94">
            <w:pPr>
              <w:pStyle w:val="143"/>
              <w:rPr>
                <w:i w:val="0"/>
                <w:iCs w:val="0"/>
                <w:color w:val="auto"/>
                <w:sz w:val="21"/>
                <w:szCs w:val="21"/>
                <w:highlight w:val="none"/>
              </w:rPr>
            </w:pPr>
            <w:r>
              <w:rPr>
                <w:rFonts w:hint="eastAsia"/>
                <w:i w:val="0"/>
                <w:iCs w:val="0"/>
                <w:color w:val="auto"/>
                <w:sz w:val="21"/>
                <w:szCs w:val="21"/>
                <w:highlight w:val="none"/>
              </w:rPr>
              <w:t>12</w:t>
            </w:r>
          </w:p>
        </w:tc>
        <w:tc>
          <w:tcPr>
            <w:tcW w:w="5670" w:type="dxa"/>
            <w:vAlign w:val="center"/>
          </w:tcPr>
          <w:p w14:paraId="234F9D95">
            <w:pPr>
              <w:pStyle w:val="143"/>
              <w:rPr>
                <w:i w:val="0"/>
                <w:iCs w:val="0"/>
                <w:color w:val="auto"/>
                <w:sz w:val="21"/>
                <w:szCs w:val="21"/>
                <w:highlight w:val="none"/>
              </w:rPr>
            </w:pPr>
            <w:r>
              <w:rPr>
                <w:rFonts w:hint="eastAsia"/>
                <w:i w:val="0"/>
                <w:iCs w:val="0"/>
                <w:color w:val="auto"/>
                <w:sz w:val="21"/>
                <w:szCs w:val="21"/>
                <w:highlight w:val="none"/>
              </w:rPr>
              <w:t>设备操作维修手册、维修计划（包括制造及外购件手册）</w:t>
            </w:r>
          </w:p>
        </w:tc>
        <w:tc>
          <w:tcPr>
            <w:tcW w:w="1809" w:type="dxa"/>
            <w:vAlign w:val="center"/>
          </w:tcPr>
          <w:p w14:paraId="234F9D96">
            <w:pPr>
              <w:pStyle w:val="143"/>
              <w:rPr>
                <w:i w:val="0"/>
                <w:iCs w:val="0"/>
                <w:color w:val="auto"/>
                <w:sz w:val="21"/>
                <w:szCs w:val="21"/>
                <w:highlight w:val="none"/>
              </w:rPr>
            </w:pPr>
            <w:r>
              <w:rPr>
                <w:rFonts w:hint="eastAsia"/>
                <w:i w:val="0"/>
                <w:iCs w:val="0"/>
                <w:color w:val="auto"/>
                <w:sz w:val="21"/>
                <w:szCs w:val="21"/>
                <w:highlight w:val="none"/>
              </w:rPr>
              <w:t>10</w:t>
            </w:r>
          </w:p>
        </w:tc>
      </w:tr>
      <w:tr w14:paraId="234F9D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98">
            <w:pPr>
              <w:pStyle w:val="143"/>
              <w:rPr>
                <w:i w:val="0"/>
                <w:iCs w:val="0"/>
                <w:color w:val="auto"/>
                <w:sz w:val="21"/>
                <w:szCs w:val="21"/>
                <w:highlight w:val="none"/>
              </w:rPr>
            </w:pPr>
            <w:r>
              <w:rPr>
                <w:rFonts w:hint="eastAsia"/>
                <w:i w:val="0"/>
                <w:iCs w:val="0"/>
                <w:color w:val="auto"/>
                <w:sz w:val="21"/>
                <w:szCs w:val="21"/>
                <w:highlight w:val="none"/>
              </w:rPr>
              <w:t>13</w:t>
            </w:r>
          </w:p>
        </w:tc>
        <w:tc>
          <w:tcPr>
            <w:tcW w:w="5670" w:type="dxa"/>
            <w:vAlign w:val="center"/>
          </w:tcPr>
          <w:p w14:paraId="234F9D99">
            <w:pPr>
              <w:pStyle w:val="143"/>
              <w:rPr>
                <w:i w:val="0"/>
                <w:iCs w:val="0"/>
                <w:color w:val="auto"/>
                <w:sz w:val="21"/>
                <w:szCs w:val="21"/>
                <w:highlight w:val="none"/>
              </w:rPr>
            </w:pPr>
            <w:r>
              <w:rPr>
                <w:rFonts w:hint="eastAsia"/>
                <w:i w:val="0"/>
                <w:iCs w:val="0"/>
                <w:color w:val="auto"/>
                <w:sz w:val="21"/>
                <w:szCs w:val="21"/>
                <w:highlight w:val="none"/>
              </w:rPr>
              <w:t>培训资料</w:t>
            </w:r>
          </w:p>
        </w:tc>
        <w:tc>
          <w:tcPr>
            <w:tcW w:w="1809" w:type="dxa"/>
            <w:vAlign w:val="center"/>
          </w:tcPr>
          <w:p w14:paraId="234F9D9A">
            <w:pPr>
              <w:pStyle w:val="143"/>
              <w:rPr>
                <w:i w:val="0"/>
                <w:iCs w:val="0"/>
                <w:color w:val="auto"/>
                <w:sz w:val="21"/>
                <w:szCs w:val="21"/>
                <w:highlight w:val="none"/>
              </w:rPr>
            </w:pPr>
            <w:r>
              <w:rPr>
                <w:i w:val="0"/>
                <w:iCs w:val="0"/>
                <w:color w:val="auto"/>
                <w:sz w:val="21"/>
                <w:szCs w:val="21"/>
                <w:highlight w:val="none"/>
              </w:rPr>
              <w:t>1</w:t>
            </w:r>
            <w:r>
              <w:rPr>
                <w:rFonts w:hint="eastAsia"/>
                <w:i w:val="0"/>
                <w:iCs w:val="0"/>
                <w:color w:val="auto"/>
                <w:sz w:val="21"/>
                <w:szCs w:val="21"/>
                <w:highlight w:val="none"/>
              </w:rPr>
              <w:t>套</w:t>
            </w:r>
            <w:r>
              <w:rPr>
                <w:i w:val="0"/>
                <w:iCs w:val="0"/>
                <w:color w:val="auto"/>
                <w:sz w:val="21"/>
                <w:szCs w:val="21"/>
                <w:highlight w:val="none"/>
              </w:rPr>
              <w:t>/</w:t>
            </w:r>
            <w:r>
              <w:rPr>
                <w:rFonts w:hint="eastAsia"/>
                <w:i w:val="0"/>
                <w:iCs w:val="0"/>
                <w:color w:val="auto"/>
                <w:sz w:val="21"/>
                <w:szCs w:val="21"/>
                <w:highlight w:val="none"/>
              </w:rPr>
              <w:t>人次</w:t>
            </w:r>
          </w:p>
        </w:tc>
      </w:tr>
      <w:tr w14:paraId="234F9D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74" w:type="dxa"/>
            <w:vAlign w:val="center"/>
          </w:tcPr>
          <w:p w14:paraId="234F9D9C">
            <w:pPr>
              <w:pStyle w:val="143"/>
              <w:rPr>
                <w:i w:val="0"/>
                <w:iCs w:val="0"/>
                <w:color w:val="auto"/>
                <w:sz w:val="21"/>
                <w:szCs w:val="21"/>
                <w:highlight w:val="none"/>
              </w:rPr>
            </w:pPr>
            <w:r>
              <w:rPr>
                <w:rFonts w:hint="eastAsia"/>
                <w:i w:val="0"/>
                <w:iCs w:val="0"/>
                <w:color w:val="auto"/>
                <w:sz w:val="21"/>
                <w:szCs w:val="21"/>
                <w:highlight w:val="none"/>
              </w:rPr>
              <w:t>14</w:t>
            </w:r>
          </w:p>
        </w:tc>
        <w:tc>
          <w:tcPr>
            <w:tcW w:w="5670" w:type="dxa"/>
            <w:vAlign w:val="center"/>
          </w:tcPr>
          <w:p w14:paraId="234F9D9D">
            <w:pPr>
              <w:pStyle w:val="143"/>
              <w:rPr>
                <w:i w:val="0"/>
                <w:iCs w:val="0"/>
                <w:color w:val="auto"/>
                <w:sz w:val="21"/>
                <w:szCs w:val="21"/>
                <w:highlight w:val="none"/>
              </w:rPr>
            </w:pPr>
            <w:r>
              <w:rPr>
                <w:rFonts w:hint="eastAsia"/>
                <w:i w:val="0"/>
                <w:iCs w:val="0"/>
                <w:color w:val="auto"/>
                <w:sz w:val="21"/>
                <w:szCs w:val="21"/>
                <w:highlight w:val="none"/>
              </w:rPr>
              <w:t>系统竣工验收文件和竣工图纸</w:t>
            </w:r>
          </w:p>
        </w:tc>
        <w:tc>
          <w:tcPr>
            <w:tcW w:w="1809" w:type="dxa"/>
            <w:vAlign w:val="center"/>
          </w:tcPr>
          <w:p w14:paraId="234F9D9E">
            <w:pPr>
              <w:pStyle w:val="143"/>
              <w:rPr>
                <w:i w:val="0"/>
                <w:iCs w:val="0"/>
                <w:color w:val="auto"/>
                <w:sz w:val="21"/>
                <w:szCs w:val="21"/>
                <w:highlight w:val="none"/>
              </w:rPr>
            </w:pPr>
            <w:r>
              <w:rPr>
                <w:rFonts w:hint="eastAsia"/>
                <w:i w:val="0"/>
                <w:iCs w:val="0"/>
                <w:color w:val="auto"/>
                <w:sz w:val="21"/>
                <w:szCs w:val="21"/>
                <w:highlight w:val="none"/>
              </w:rPr>
              <w:t>10</w:t>
            </w:r>
          </w:p>
        </w:tc>
      </w:tr>
    </w:tbl>
    <w:p w14:paraId="234F9DA0">
      <w:pPr>
        <w:pStyle w:val="7"/>
        <w:ind w:left="0"/>
        <w:rPr>
          <w:i w:val="0"/>
          <w:iCs w:val="0"/>
          <w:color w:val="auto"/>
          <w:sz w:val="21"/>
          <w:szCs w:val="21"/>
          <w:highlight w:val="none"/>
        </w:rPr>
      </w:pPr>
      <w:r>
        <w:rPr>
          <w:rFonts w:hint="eastAsia"/>
          <w:i w:val="0"/>
          <w:iCs w:val="0"/>
          <w:color w:val="auto"/>
          <w:sz w:val="21"/>
          <w:szCs w:val="21"/>
          <w:highlight w:val="none"/>
        </w:rPr>
        <w:t>软件文档</w:t>
      </w:r>
    </w:p>
    <w:p w14:paraId="234F9DA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所有的软件文档均用中英文对照以一式三份带电子文件的方式提交。各文档应在设计周期的相应阶段完成后提交，并在文档验收后的120天内提交最终稿。</w:t>
      </w:r>
    </w:p>
    <w:p w14:paraId="234F9DA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招标人为系统维护所需要的软件文档，包括但不限于下列项目：</w:t>
      </w:r>
    </w:p>
    <w:p w14:paraId="234F9DA3">
      <w:pPr>
        <w:pStyle w:val="142"/>
        <w:numPr>
          <w:ilvl w:val="0"/>
          <w:numId w:val="40"/>
        </w:numPr>
        <w:ind w:firstLineChars="0"/>
        <w:rPr>
          <w:i w:val="0"/>
          <w:iCs w:val="0"/>
          <w:color w:val="auto"/>
          <w:sz w:val="21"/>
          <w:szCs w:val="15"/>
          <w:highlight w:val="none"/>
        </w:rPr>
      </w:pPr>
      <w:r>
        <w:rPr>
          <w:rFonts w:hint="eastAsia"/>
          <w:i w:val="0"/>
          <w:iCs w:val="0"/>
          <w:color w:val="auto"/>
          <w:sz w:val="21"/>
          <w:szCs w:val="15"/>
          <w:highlight w:val="none"/>
        </w:rPr>
        <w:t>软件功能需求说明书，包括外部接口需求说明书；</w:t>
      </w:r>
    </w:p>
    <w:p w14:paraId="234F9DA4">
      <w:pPr>
        <w:pStyle w:val="142"/>
        <w:numPr>
          <w:ilvl w:val="0"/>
          <w:numId w:val="40"/>
        </w:numPr>
        <w:ind w:firstLineChars="0"/>
        <w:rPr>
          <w:i w:val="0"/>
          <w:iCs w:val="0"/>
          <w:color w:val="auto"/>
          <w:sz w:val="21"/>
          <w:szCs w:val="15"/>
          <w:highlight w:val="none"/>
        </w:rPr>
      </w:pPr>
      <w:r>
        <w:rPr>
          <w:rFonts w:hint="eastAsia"/>
          <w:i w:val="0"/>
          <w:iCs w:val="0"/>
          <w:color w:val="auto"/>
          <w:sz w:val="21"/>
          <w:szCs w:val="15"/>
          <w:highlight w:val="none"/>
        </w:rPr>
        <w:t>软件设计说明书；</w:t>
      </w:r>
    </w:p>
    <w:p w14:paraId="234F9DA5">
      <w:pPr>
        <w:pStyle w:val="142"/>
        <w:numPr>
          <w:ilvl w:val="0"/>
          <w:numId w:val="40"/>
        </w:numPr>
        <w:ind w:firstLineChars="0"/>
        <w:rPr>
          <w:i w:val="0"/>
          <w:iCs w:val="0"/>
          <w:color w:val="auto"/>
          <w:sz w:val="21"/>
          <w:szCs w:val="15"/>
          <w:highlight w:val="none"/>
        </w:rPr>
      </w:pPr>
      <w:r>
        <w:rPr>
          <w:rFonts w:hint="eastAsia"/>
          <w:i w:val="0"/>
          <w:iCs w:val="0"/>
          <w:color w:val="auto"/>
          <w:sz w:val="21"/>
          <w:szCs w:val="15"/>
          <w:highlight w:val="none"/>
        </w:rPr>
        <w:t>用户文档（包括用户手册、培训手册）；</w:t>
      </w:r>
    </w:p>
    <w:p w14:paraId="234F9DA6">
      <w:pPr>
        <w:pStyle w:val="142"/>
        <w:numPr>
          <w:ilvl w:val="0"/>
          <w:numId w:val="40"/>
        </w:numPr>
        <w:ind w:firstLineChars="0"/>
        <w:rPr>
          <w:i w:val="0"/>
          <w:iCs w:val="0"/>
          <w:color w:val="auto"/>
          <w:sz w:val="21"/>
          <w:szCs w:val="15"/>
          <w:highlight w:val="none"/>
        </w:rPr>
      </w:pPr>
      <w:r>
        <w:rPr>
          <w:rFonts w:hint="eastAsia"/>
          <w:i w:val="0"/>
          <w:iCs w:val="0"/>
          <w:color w:val="auto"/>
          <w:sz w:val="21"/>
          <w:szCs w:val="15"/>
          <w:highlight w:val="none"/>
        </w:rPr>
        <w:t>支持文档（包括操作手册等）；</w:t>
      </w:r>
    </w:p>
    <w:p w14:paraId="234F9DA7">
      <w:pPr>
        <w:pStyle w:val="142"/>
        <w:numPr>
          <w:ilvl w:val="0"/>
          <w:numId w:val="40"/>
        </w:numPr>
        <w:ind w:firstLineChars="0"/>
        <w:rPr>
          <w:i w:val="0"/>
          <w:iCs w:val="0"/>
          <w:color w:val="auto"/>
          <w:sz w:val="21"/>
          <w:szCs w:val="15"/>
          <w:highlight w:val="none"/>
        </w:rPr>
      </w:pPr>
      <w:r>
        <w:rPr>
          <w:rFonts w:hint="eastAsia"/>
          <w:i w:val="0"/>
          <w:iCs w:val="0"/>
          <w:color w:val="auto"/>
          <w:sz w:val="21"/>
          <w:szCs w:val="15"/>
          <w:highlight w:val="none"/>
        </w:rPr>
        <w:t>投标人应列出交付的合同范围内的所有软件文档清单。</w:t>
      </w:r>
    </w:p>
    <w:p w14:paraId="234F9DA8">
      <w:pPr>
        <w:pStyle w:val="7"/>
        <w:ind w:left="0"/>
        <w:rPr>
          <w:i w:val="0"/>
          <w:iCs w:val="0"/>
          <w:color w:val="auto"/>
          <w:sz w:val="21"/>
          <w:szCs w:val="21"/>
          <w:highlight w:val="none"/>
        </w:rPr>
      </w:pPr>
      <w:r>
        <w:rPr>
          <w:rFonts w:hint="eastAsia"/>
          <w:i w:val="0"/>
          <w:iCs w:val="0"/>
          <w:color w:val="auto"/>
          <w:sz w:val="21"/>
          <w:szCs w:val="21"/>
          <w:highlight w:val="none"/>
        </w:rPr>
        <w:t>软件设计说明书</w:t>
      </w:r>
    </w:p>
    <w:p w14:paraId="234F9DA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由设计文档和软件清单两部分组成。其中设计文档应覆盖以下方面：</w:t>
      </w:r>
    </w:p>
    <w:p w14:paraId="234F9DA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系统网络拓扑结构、硬件配置、通信和软件平台；系统结构设计；系统结构图。</w:t>
      </w:r>
    </w:p>
    <w:p w14:paraId="234F9DAB">
      <w:pPr>
        <w:pStyle w:val="7"/>
        <w:ind w:left="0"/>
        <w:rPr>
          <w:i w:val="0"/>
          <w:iCs w:val="0"/>
          <w:color w:val="auto"/>
          <w:sz w:val="21"/>
          <w:szCs w:val="21"/>
          <w:highlight w:val="none"/>
        </w:rPr>
      </w:pPr>
      <w:r>
        <w:rPr>
          <w:rFonts w:hint="eastAsia"/>
          <w:i w:val="0"/>
          <w:iCs w:val="0"/>
          <w:color w:val="auto"/>
          <w:sz w:val="21"/>
          <w:szCs w:val="21"/>
          <w:highlight w:val="none"/>
        </w:rPr>
        <w:t>用户文档</w:t>
      </w:r>
    </w:p>
    <w:p w14:paraId="234F9DA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用户手册应向用户提供正确的操作步骤，正常的输出信息；培训手册提供针对不同层次用户及设备所必须的计划及内容。</w:t>
      </w:r>
    </w:p>
    <w:p w14:paraId="234F9DAD">
      <w:pPr>
        <w:pStyle w:val="7"/>
        <w:ind w:left="0"/>
        <w:rPr>
          <w:i w:val="0"/>
          <w:iCs w:val="0"/>
          <w:color w:val="auto"/>
          <w:sz w:val="21"/>
          <w:szCs w:val="21"/>
          <w:highlight w:val="none"/>
        </w:rPr>
      </w:pPr>
      <w:r>
        <w:rPr>
          <w:rFonts w:hint="eastAsia"/>
          <w:i w:val="0"/>
          <w:iCs w:val="0"/>
          <w:color w:val="auto"/>
          <w:sz w:val="21"/>
          <w:szCs w:val="21"/>
          <w:highlight w:val="none"/>
        </w:rPr>
        <w:t>支持文档</w:t>
      </w:r>
    </w:p>
    <w:p w14:paraId="234F9DA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操作手册提供系统运作初始化、操作和监测的详细程序及信息；应用软件编写工具。</w:t>
      </w:r>
    </w:p>
    <w:p w14:paraId="234F9DAF">
      <w:pPr>
        <w:pStyle w:val="7"/>
        <w:ind w:left="0"/>
        <w:rPr>
          <w:i w:val="0"/>
          <w:iCs w:val="0"/>
          <w:color w:val="auto"/>
          <w:sz w:val="21"/>
          <w:szCs w:val="21"/>
          <w:highlight w:val="none"/>
        </w:rPr>
      </w:pPr>
      <w:r>
        <w:rPr>
          <w:rFonts w:hint="eastAsia"/>
          <w:i w:val="0"/>
          <w:iCs w:val="0"/>
          <w:color w:val="auto"/>
          <w:sz w:val="21"/>
          <w:szCs w:val="21"/>
          <w:highlight w:val="none"/>
        </w:rPr>
        <w:t>维修文档</w:t>
      </w:r>
    </w:p>
    <w:p w14:paraId="234F9DB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设备运行和维护手册，故障诊断程序及方法。</w:t>
      </w:r>
    </w:p>
    <w:p w14:paraId="234F9DB1">
      <w:pPr>
        <w:pStyle w:val="6"/>
        <w:ind w:left="0"/>
        <w:rPr>
          <w:i w:val="0"/>
          <w:iCs w:val="0"/>
          <w:color w:val="auto"/>
          <w:sz w:val="22"/>
          <w:szCs w:val="22"/>
          <w:highlight w:val="none"/>
        </w:rPr>
      </w:pPr>
      <w:bookmarkStart w:id="384" w:name="_Toc93674814"/>
      <w:bookmarkStart w:id="385" w:name="_Toc29028"/>
      <w:r>
        <w:rPr>
          <w:rFonts w:hint="eastAsia"/>
          <w:i w:val="0"/>
          <w:iCs w:val="0"/>
          <w:color w:val="auto"/>
          <w:sz w:val="22"/>
          <w:szCs w:val="22"/>
          <w:highlight w:val="none"/>
        </w:rPr>
        <w:t>技术文件的发表和公布</w:t>
      </w:r>
      <w:bookmarkEnd w:id="384"/>
      <w:bookmarkEnd w:id="385"/>
    </w:p>
    <w:p w14:paraId="234F9DB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没有得到招标人或招标人授权人员的书面批准前，投标人不得发表或公布任何本项目相关的资料、文件或工程技术细节。</w:t>
      </w:r>
    </w:p>
    <w:p w14:paraId="234F9DB3">
      <w:pPr>
        <w:pStyle w:val="3"/>
        <w:rPr>
          <w:i w:val="0"/>
          <w:iCs w:val="0"/>
          <w:color w:val="auto"/>
          <w:sz w:val="24"/>
          <w:szCs w:val="32"/>
          <w:highlight w:val="none"/>
        </w:rPr>
      </w:pPr>
      <w:bookmarkStart w:id="386" w:name="_Toc8666"/>
      <w:r>
        <w:rPr>
          <w:rFonts w:hint="eastAsia"/>
          <w:i w:val="0"/>
          <w:iCs w:val="0"/>
          <w:color w:val="auto"/>
          <w:sz w:val="24"/>
          <w:szCs w:val="32"/>
          <w:highlight w:val="none"/>
        </w:rPr>
        <w:t>设计联络</w:t>
      </w:r>
      <w:bookmarkEnd w:id="386"/>
      <w:r>
        <w:rPr>
          <w:rFonts w:hint="eastAsia" w:ascii="Times New Roman" w:hAnsi="Times New Roman" w:cs="Times New Roman"/>
          <w:i w:val="0"/>
          <w:iCs w:val="0"/>
          <w:color w:val="auto"/>
          <w:sz w:val="24"/>
          <w:szCs w:val="32"/>
          <w:highlight w:val="none"/>
        </w:rPr>
        <w:t>★</w:t>
      </w:r>
    </w:p>
    <w:p w14:paraId="234F9DB4">
      <w:pPr>
        <w:pStyle w:val="4"/>
        <w:rPr>
          <w:i w:val="0"/>
          <w:iCs w:val="0"/>
          <w:color w:val="auto"/>
          <w:sz w:val="24"/>
          <w:szCs w:val="21"/>
          <w:highlight w:val="none"/>
        </w:rPr>
      </w:pPr>
      <w:bookmarkStart w:id="387" w:name="_Toc30424"/>
      <w:bookmarkStart w:id="388" w:name="_Toc93674816"/>
      <w:bookmarkStart w:id="389" w:name="_Toc216637941"/>
      <w:bookmarkStart w:id="390" w:name="_Toc85528785"/>
      <w:r>
        <w:rPr>
          <w:rFonts w:hint="eastAsia"/>
          <w:i w:val="0"/>
          <w:iCs w:val="0"/>
          <w:color w:val="auto"/>
          <w:sz w:val="24"/>
          <w:szCs w:val="21"/>
          <w:highlight w:val="none"/>
        </w:rPr>
        <w:t>设计联络</w:t>
      </w:r>
      <w:bookmarkEnd w:id="387"/>
      <w:bookmarkEnd w:id="388"/>
      <w:bookmarkEnd w:id="389"/>
      <w:bookmarkEnd w:id="390"/>
    </w:p>
    <w:p w14:paraId="234F9DB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设计联络的目的是为了本工程参与各方交流设计思想，澄清技术问题。设计与投标人互提基础资料，确认系统功能和技术参数、技术方案、接口方案和各种计划，审核设备检测和出厂检验标准以及设备数量。招标人不承担任何技术责任。</w:t>
      </w:r>
    </w:p>
    <w:p w14:paraId="234F9DB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设计联络会议由投标人组织并由招标人主持，参加设计联络会议所发生的所有费用（含本地、国内外及其他）各自负责。本标应在招标人总体节点计划的基础上进行设计联络工作的开展，由投标人统一协调组织，各系统根据实际需求进行设计联络，设计联络的次数原则上为三次，智慧地铁云平台扩容，系统设计联络阶段根据实际情况可进行适当调整。</w:t>
      </w:r>
    </w:p>
    <w:p w14:paraId="234F9DB7">
      <w:pPr>
        <w:pStyle w:val="4"/>
        <w:rPr>
          <w:i w:val="0"/>
          <w:iCs w:val="0"/>
          <w:color w:val="auto"/>
          <w:sz w:val="24"/>
          <w:szCs w:val="21"/>
          <w:highlight w:val="none"/>
        </w:rPr>
      </w:pPr>
      <w:bookmarkStart w:id="391" w:name="_Toc93674817"/>
      <w:bookmarkStart w:id="392" w:name="_Toc216637942"/>
      <w:bookmarkStart w:id="393" w:name="_Toc85528786"/>
      <w:bookmarkStart w:id="394" w:name="_Toc28972"/>
      <w:r>
        <w:rPr>
          <w:rFonts w:hint="eastAsia"/>
          <w:i w:val="0"/>
          <w:iCs w:val="0"/>
          <w:color w:val="auto"/>
          <w:sz w:val="24"/>
          <w:szCs w:val="21"/>
          <w:highlight w:val="none"/>
        </w:rPr>
        <w:t>第一次设计联络会议</w:t>
      </w:r>
      <w:bookmarkEnd w:id="391"/>
      <w:bookmarkEnd w:id="392"/>
      <w:bookmarkEnd w:id="393"/>
      <w:bookmarkEnd w:id="394"/>
    </w:p>
    <w:p w14:paraId="234F9DB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根据总体计划，按时召开第一次设计联络会议，地点在招标方所在地，具体地点由招标人确定。</w:t>
      </w:r>
    </w:p>
    <w:p w14:paraId="234F9DB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第一次设计联络会议重点讨论与各专业的接口，制定详细的接口协议、硬件设备清单、系统整体架构、软件架构。</w:t>
      </w:r>
    </w:p>
    <w:p w14:paraId="234F9DB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投标人在设计联络会议前10日提交所要求的文件和资料。</w:t>
      </w:r>
    </w:p>
    <w:p w14:paraId="234F9DBC">
      <w:pPr>
        <w:pStyle w:val="4"/>
        <w:rPr>
          <w:i w:val="0"/>
          <w:iCs w:val="0"/>
          <w:color w:val="auto"/>
          <w:sz w:val="24"/>
          <w:szCs w:val="21"/>
          <w:highlight w:val="none"/>
        </w:rPr>
      </w:pPr>
      <w:bookmarkStart w:id="395" w:name="_Toc85528787"/>
      <w:bookmarkStart w:id="396" w:name="_Toc93674818"/>
      <w:bookmarkStart w:id="397" w:name="_Toc216637943"/>
      <w:bookmarkStart w:id="398" w:name="_Toc20723"/>
      <w:r>
        <w:rPr>
          <w:rFonts w:hint="eastAsia"/>
          <w:i w:val="0"/>
          <w:iCs w:val="0"/>
          <w:color w:val="auto"/>
          <w:sz w:val="24"/>
          <w:szCs w:val="21"/>
          <w:highlight w:val="none"/>
        </w:rPr>
        <w:t>第二次设计联络会议</w:t>
      </w:r>
      <w:bookmarkEnd w:id="395"/>
      <w:bookmarkEnd w:id="396"/>
      <w:bookmarkEnd w:id="397"/>
      <w:bookmarkEnd w:id="398"/>
    </w:p>
    <w:p w14:paraId="234F9DB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根据总体计划，按时召开第二次设计联络会议，地点在招标方所在地，具体地点由招标人确定。</w:t>
      </w:r>
    </w:p>
    <w:p w14:paraId="234F9DB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第二次设计联络会议重点讨论系统功能，制定详细的硬件功能规格书、软件功能规格书，应包含详细的各系统点表。</w:t>
      </w:r>
    </w:p>
    <w:p w14:paraId="234F9DC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投标人在设计联络会议前10日提交所要求的全部文件和资料。</w:t>
      </w:r>
    </w:p>
    <w:p w14:paraId="234F9DC1">
      <w:pPr>
        <w:pStyle w:val="4"/>
        <w:rPr>
          <w:i w:val="0"/>
          <w:iCs w:val="0"/>
          <w:color w:val="auto"/>
          <w:sz w:val="24"/>
          <w:szCs w:val="21"/>
          <w:highlight w:val="none"/>
        </w:rPr>
      </w:pPr>
      <w:bookmarkStart w:id="399" w:name="_Toc216637944"/>
      <w:bookmarkStart w:id="400" w:name="_Toc21828"/>
      <w:bookmarkStart w:id="401" w:name="_Toc85528788"/>
      <w:bookmarkStart w:id="402" w:name="_Toc93674819"/>
      <w:r>
        <w:rPr>
          <w:rFonts w:hint="eastAsia"/>
          <w:i w:val="0"/>
          <w:iCs w:val="0"/>
          <w:color w:val="auto"/>
          <w:sz w:val="24"/>
          <w:szCs w:val="21"/>
          <w:highlight w:val="none"/>
        </w:rPr>
        <w:t>第三次设计联络会议</w:t>
      </w:r>
      <w:bookmarkEnd w:id="399"/>
      <w:bookmarkEnd w:id="400"/>
      <w:bookmarkEnd w:id="401"/>
      <w:bookmarkEnd w:id="402"/>
    </w:p>
    <w:p w14:paraId="234F9DC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按照总体计划，按时召开第三次设计联络会议，地点在招标方所在地，具体地点由招标人确定。</w:t>
      </w:r>
    </w:p>
    <w:p w14:paraId="234F9DC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第三次设计联络会议重点讨论现场实施，制定详细的现场实施计划，讨论测试大纲及验收要求，测试的依据和验收的目标。</w:t>
      </w:r>
    </w:p>
    <w:p w14:paraId="234F9DC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投标人在设计联络会议前10日提交所要求的全部文件和资料。</w:t>
      </w:r>
    </w:p>
    <w:p w14:paraId="234F9DC6">
      <w:pPr>
        <w:pStyle w:val="4"/>
        <w:rPr>
          <w:i w:val="0"/>
          <w:iCs w:val="0"/>
          <w:color w:val="auto"/>
          <w:sz w:val="24"/>
          <w:szCs w:val="21"/>
          <w:highlight w:val="none"/>
        </w:rPr>
      </w:pPr>
      <w:bookmarkStart w:id="403" w:name="_Toc28047"/>
      <w:bookmarkStart w:id="404" w:name="_Toc85528789"/>
      <w:bookmarkStart w:id="405" w:name="_Toc93674820"/>
      <w:bookmarkStart w:id="406" w:name="_Toc216637945"/>
      <w:r>
        <w:rPr>
          <w:rFonts w:hint="eastAsia"/>
          <w:i w:val="0"/>
          <w:iCs w:val="0"/>
          <w:color w:val="auto"/>
          <w:sz w:val="24"/>
          <w:szCs w:val="21"/>
          <w:highlight w:val="none"/>
        </w:rPr>
        <w:t>工作协调会议</w:t>
      </w:r>
      <w:bookmarkEnd w:id="403"/>
      <w:bookmarkEnd w:id="404"/>
      <w:bookmarkEnd w:id="405"/>
      <w:bookmarkEnd w:id="406"/>
    </w:p>
    <w:p w14:paraId="234F9DC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工作协调会议由投标人组织并由招标人主持，工作协调会议所发生的所有费用由投标人负责，主要包含问题协调，重要方案专题会议。</w:t>
      </w:r>
    </w:p>
    <w:p w14:paraId="234F9DC8">
      <w:pPr>
        <w:pStyle w:val="4"/>
        <w:rPr>
          <w:i w:val="0"/>
          <w:iCs w:val="0"/>
          <w:color w:val="auto"/>
          <w:sz w:val="24"/>
          <w:szCs w:val="21"/>
          <w:highlight w:val="none"/>
        </w:rPr>
      </w:pPr>
      <w:bookmarkStart w:id="407" w:name="_Toc93674821"/>
      <w:bookmarkStart w:id="408" w:name="_Toc17510"/>
      <w:bookmarkStart w:id="409" w:name="_Toc85528790"/>
      <w:bookmarkStart w:id="410" w:name="_Toc216637946"/>
      <w:r>
        <w:rPr>
          <w:rFonts w:hint="eastAsia"/>
          <w:i w:val="0"/>
          <w:iCs w:val="0"/>
          <w:color w:val="auto"/>
          <w:sz w:val="24"/>
          <w:szCs w:val="21"/>
          <w:highlight w:val="none"/>
        </w:rPr>
        <w:t>投标人人员在招标人所在地的规定</w:t>
      </w:r>
      <w:bookmarkEnd w:id="407"/>
      <w:bookmarkEnd w:id="408"/>
      <w:bookmarkEnd w:id="409"/>
      <w:bookmarkEnd w:id="410"/>
    </w:p>
    <w:p w14:paraId="234F9DC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投标人人员应是对本系统以及对其他系统接口有相当经验的健康的工程技术人员，负责现场安装督导、验收、调试、大联调、试运行以及质保期内的服务。</w:t>
      </w:r>
    </w:p>
    <w:p w14:paraId="234F9DC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投标人的工作范围包括但不限于：</w:t>
      </w:r>
    </w:p>
    <w:p w14:paraId="234F9DCB">
      <w:pPr>
        <w:pStyle w:val="142"/>
        <w:numPr>
          <w:ilvl w:val="0"/>
          <w:numId w:val="41"/>
        </w:numPr>
        <w:ind w:firstLineChars="0"/>
        <w:rPr>
          <w:i w:val="0"/>
          <w:iCs w:val="0"/>
          <w:color w:val="auto"/>
          <w:sz w:val="21"/>
          <w:szCs w:val="15"/>
          <w:highlight w:val="none"/>
        </w:rPr>
      </w:pPr>
      <w:r>
        <w:rPr>
          <w:rFonts w:hint="eastAsia"/>
          <w:i w:val="0"/>
          <w:iCs w:val="0"/>
          <w:color w:val="auto"/>
          <w:sz w:val="21"/>
          <w:szCs w:val="15"/>
          <w:highlight w:val="none"/>
        </w:rPr>
        <w:t>系统项目管理；</w:t>
      </w:r>
    </w:p>
    <w:p w14:paraId="234F9DCC">
      <w:pPr>
        <w:pStyle w:val="142"/>
        <w:numPr>
          <w:ilvl w:val="0"/>
          <w:numId w:val="41"/>
        </w:numPr>
        <w:ind w:firstLineChars="0"/>
        <w:rPr>
          <w:i w:val="0"/>
          <w:iCs w:val="0"/>
          <w:color w:val="auto"/>
          <w:sz w:val="21"/>
          <w:szCs w:val="15"/>
          <w:highlight w:val="none"/>
        </w:rPr>
      </w:pPr>
      <w:r>
        <w:rPr>
          <w:rFonts w:hint="eastAsia"/>
          <w:i w:val="0"/>
          <w:iCs w:val="0"/>
          <w:color w:val="auto"/>
          <w:sz w:val="21"/>
          <w:szCs w:val="15"/>
          <w:highlight w:val="none"/>
        </w:rPr>
        <w:t>本系统与其他系统的接口；</w:t>
      </w:r>
    </w:p>
    <w:p w14:paraId="234F9DCD">
      <w:pPr>
        <w:pStyle w:val="142"/>
        <w:numPr>
          <w:ilvl w:val="0"/>
          <w:numId w:val="41"/>
        </w:numPr>
        <w:ind w:firstLineChars="0"/>
        <w:rPr>
          <w:i w:val="0"/>
          <w:iCs w:val="0"/>
          <w:color w:val="auto"/>
          <w:sz w:val="21"/>
          <w:szCs w:val="15"/>
          <w:highlight w:val="none"/>
        </w:rPr>
      </w:pPr>
      <w:r>
        <w:rPr>
          <w:rFonts w:hint="eastAsia"/>
          <w:i w:val="0"/>
          <w:iCs w:val="0"/>
          <w:color w:val="auto"/>
          <w:sz w:val="21"/>
          <w:szCs w:val="15"/>
          <w:highlight w:val="none"/>
        </w:rPr>
        <w:t>现场安装；</w:t>
      </w:r>
    </w:p>
    <w:p w14:paraId="234F9DCE">
      <w:pPr>
        <w:pStyle w:val="142"/>
        <w:numPr>
          <w:ilvl w:val="0"/>
          <w:numId w:val="41"/>
        </w:numPr>
        <w:ind w:firstLineChars="0"/>
        <w:rPr>
          <w:i w:val="0"/>
          <w:iCs w:val="0"/>
          <w:color w:val="auto"/>
          <w:sz w:val="21"/>
          <w:szCs w:val="15"/>
          <w:highlight w:val="none"/>
        </w:rPr>
      </w:pPr>
      <w:r>
        <w:rPr>
          <w:rFonts w:hint="eastAsia"/>
          <w:i w:val="0"/>
          <w:iCs w:val="0"/>
          <w:color w:val="auto"/>
          <w:sz w:val="21"/>
          <w:szCs w:val="15"/>
          <w:highlight w:val="none"/>
        </w:rPr>
        <w:t>安装后的测试验收；</w:t>
      </w:r>
    </w:p>
    <w:p w14:paraId="234F9DCF">
      <w:pPr>
        <w:pStyle w:val="142"/>
        <w:numPr>
          <w:ilvl w:val="0"/>
          <w:numId w:val="41"/>
        </w:numPr>
        <w:ind w:firstLineChars="0"/>
        <w:rPr>
          <w:i w:val="0"/>
          <w:iCs w:val="0"/>
          <w:color w:val="auto"/>
          <w:sz w:val="21"/>
          <w:szCs w:val="15"/>
          <w:highlight w:val="none"/>
        </w:rPr>
      </w:pPr>
      <w:r>
        <w:rPr>
          <w:rFonts w:hint="eastAsia"/>
          <w:i w:val="0"/>
          <w:iCs w:val="0"/>
          <w:color w:val="auto"/>
          <w:sz w:val="21"/>
          <w:szCs w:val="15"/>
          <w:highlight w:val="none"/>
        </w:rPr>
        <w:t>对招标人操作人员上岗前的操作、日常维护、管理的培训；</w:t>
      </w:r>
    </w:p>
    <w:p w14:paraId="234F9DD0">
      <w:pPr>
        <w:pStyle w:val="142"/>
        <w:numPr>
          <w:ilvl w:val="0"/>
          <w:numId w:val="41"/>
        </w:numPr>
        <w:ind w:firstLineChars="0"/>
        <w:rPr>
          <w:i w:val="0"/>
          <w:iCs w:val="0"/>
          <w:color w:val="auto"/>
          <w:sz w:val="21"/>
          <w:szCs w:val="15"/>
          <w:highlight w:val="none"/>
        </w:rPr>
      </w:pPr>
      <w:r>
        <w:rPr>
          <w:rFonts w:hint="eastAsia"/>
          <w:i w:val="0"/>
          <w:iCs w:val="0"/>
          <w:color w:val="auto"/>
          <w:sz w:val="21"/>
          <w:szCs w:val="15"/>
          <w:highlight w:val="none"/>
        </w:rPr>
        <w:t>对安装队伍的培训。</w:t>
      </w:r>
    </w:p>
    <w:p w14:paraId="234F9DD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投标人应详细解释技术文件、手册、工程图纸及设备相应的注意事项，还负责回答和解决工程中提出的技术问题。</w:t>
      </w:r>
    </w:p>
    <w:p w14:paraId="234F9DD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投标人对安装队伍进行技术交底及现场示范。</w:t>
      </w:r>
    </w:p>
    <w:p w14:paraId="234F9DD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投标人应履行合同所规定的职责，否则招标人有权提出增加、更换投标人人员以及延长工作期限要求，直至符合合同的要求。</w:t>
      </w:r>
    </w:p>
    <w:p w14:paraId="234F9DD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投标人完成上述各项工作所需的费用含在合同总价中。</w:t>
      </w:r>
    </w:p>
    <w:p w14:paraId="234F9DD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为完成上述工作，必要时投标人应无条件地加派人员，费用由投标人承担。</w:t>
      </w:r>
    </w:p>
    <w:p w14:paraId="234F9DEB">
      <w:pPr>
        <w:pStyle w:val="4"/>
        <w:rPr>
          <w:i w:val="0"/>
          <w:iCs w:val="0"/>
          <w:color w:val="auto"/>
          <w:sz w:val="24"/>
          <w:szCs w:val="21"/>
          <w:highlight w:val="none"/>
        </w:rPr>
      </w:pPr>
      <w:bookmarkStart w:id="411" w:name="_Toc29288"/>
      <w:bookmarkStart w:id="412" w:name="_Toc93674823"/>
      <w:bookmarkStart w:id="413" w:name="_Toc85528792"/>
      <w:r>
        <w:rPr>
          <w:rFonts w:hint="eastAsia"/>
          <w:i w:val="0"/>
          <w:iCs w:val="0"/>
          <w:color w:val="auto"/>
          <w:sz w:val="24"/>
          <w:szCs w:val="21"/>
          <w:highlight w:val="none"/>
        </w:rPr>
        <w:t>投标人设计工作的要求</w:t>
      </w:r>
      <w:bookmarkEnd w:id="411"/>
      <w:bookmarkEnd w:id="412"/>
      <w:bookmarkEnd w:id="413"/>
    </w:p>
    <w:p w14:paraId="234F9DE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投标人需结合本系统设备情况无条件配合设计单位进行施工图的深化设计，并在规定时间内提交相关资料及图纸。</w:t>
      </w:r>
    </w:p>
    <w:p w14:paraId="234F9DE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投标人需结合本系统设备情况进行系统（设备）内部的深化设计。</w:t>
      </w:r>
    </w:p>
    <w:p w14:paraId="234F9DE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按技术规格书的要求，按时完成相关深化设计并通过招标人交设计单位审查，在审查合格后方可实施。审查意见将在设计联络时提出。但招标人的认可不减轻投标人对设计的责任和对设备及材料质量的责任。</w:t>
      </w:r>
    </w:p>
    <w:p w14:paraId="234F9DE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合同签订后任何一方若需对已认可的设计作变更都应以书面形式履行变更手续。未履行书面手续的变更无效。</w:t>
      </w:r>
    </w:p>
    <w:p w14:paraId="234F9DF0">
      <w:pPr>
        <w:pStyle w:val="3"/>
        <w:rPr>
          <w:i w:val="0"/>
          <w:iCs w:val="0"/>
          <w:color w:val="auto"/>
          <w:sz w:val="24"/>
          <w:szCs w:val="32"/>
          <w:highlight w:val="none"/>
        </w:rPr>
      </w:pPr>
      <w:bookmarkStart w:id="414" w:name="_Toc216637948"/>
      <w:bookmarkStart w:id="415" w:name="_Toc201305018"/>
      <w:bookmarkStart w:id="416" w:name="_Toc23487"/>
      <w:r>
        <w:rPr>
          <w:rFonts w:hint="eastAsia"/>
          <w:i w:val="0"/>
          <w:iCs w:val="0"/>
          <w:color w:val="auto"/>
          <w:sz w:val="24"/>
          <w:szCs w:val="32"/>
          <w:highlight w:val="none"/>
        </w:rPr>
        <w:t>测试、检验、验收</w:t>
      </w:r>
      <w:bookmarkEnd w:id="414"/>
      <w:bookmarkEnd w:id="415"/>
      <w:bookmarkEnd w:id="416"/>
      <w:r>
        <w:rPr>
          <w:rFonts w:hint="eastAsia" w:ascii="Times New Roman" w:hAnsi="Times New Roman" w:cs="Times New Roman"/>
          <w:i w:val="0"/>
          <w:iCs w:val="0"/>
          <w:color w:val="auto"/>
          <w:sz w:val="24"/>
          <w:szCs w:val="32"/>
          <w:highlight w:val="none"/>
        </w:rPr>
        <w:t>★</w:t>
      </w:r>
    </w:p>
    <w:p w14:paraId="234F9DF1">
      <w:pPr>
        <w:pStyle w:val="4"/>
        <w:rPr>
          <w:i w:val="0"/>
          <w:iCs w:val="0"/>
          <w:color w:val="auto"/>
          <w:sz w:val="24"/>
          <w:szCs w:val="21"/>
          <w:highlight w:val="none"/>
        </w:rPr>
      </w:pPr>
      <w:bookmarkStart w:id="417" w:name="_Toc201305019"/>
      <w:bookmarkStart w:id="418" w:name="_Toc25808"/>
      <w:bookmarkStart w:id="419" w:name="_Toc216637949"/>
      <w:r>
        <w:rPr>
          <w:rFonts w:hint="eastAsia"/>
          <w:i w:val="0"/>
          <w:iCs w:val="0"/>
          <w:color w:val="auto"/>
          <w:sz w:val="24"/>
          <w:szCs w:val="21"/>
          <w:highlight w:val="none"/>
        </w:rPr>
        <w:t>概述</w:t>
      </w:r>
      <w:bookmarkEnd w:id="417"/>
      <w:bookmarkEnd w:id="418"/>
      <w:bookmarkEnd w:id="419"/>
    </w:p>
    <w:p w14:paraId="234F9DF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投标人所提供的合同项目的系统设备应是全新的、使用最新技术生产的、经试验合格的产品，所有系统设备必须通过检验和验收以证明满足合同的要求。</w:t>
      </w:r>
    </w:p>
    <w:p w14:paraId="234F9DF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在招标人的授权下设专人负责测试、检验、验收的全过程协调管理工作，包括但不限于试验测试、接口协调管理、出厂验收、现场管理、单体调试、接口调试、系统调试、联合调试、系统稳定性测试、预验收等工作并提供相关的进度报告、质量报告、测试大纲、测试报告、验收大纲、验收报告等。</w:t>
      </w:r>
    </w:p>
    <w:p w14:paraId="234F9DF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本文件规定的测试和试验项目如下：</w:t>
      </w:r>
    </w:p>
    <w:p w14:paraId="234F9DF5">
      <w:pPr>
        <w:pStyle w:val="142"/>
        <w:numPr>
          <w:ilvl w:val="0"/>
          <w:numId w:val="42"/>
        </w:numPr>
        <w:ind w:firstLineChars="0"/>
        <w:rPr>
          <w:i w:val="0"/>
          <w:iCs w:val="0"/>
          <w:color w:val="auto"/>
          <w:sz w:val="21"/>
          <w:szCs w:val="15"/>
          <w:highlight w:val="none"/>
        </w:rPr>
      </w:pPr>
      <w:r>
        <w:rPr>
          <w:rFonts w:hint="eastAsia"/>
          <w:i w:val="0"/>
          <w:iCs w:val="0"/>
          <w:color w:val="auto"/>
          <w:sz w:val="21"/>
          <w:szCs w:val="15"/>
          <w:highlight w:val="none"/>
        </w:rPr>
        <w:t>工厂试验（包括型式试验、工厂测试、样机试验、接口试验等）</w:t>
      </w:r>
    </w:p>
    <w:p w14:paraId="234F9DF6">
      <w:pPr>
        <w:pStyle w:val="142"/>
        <w:numPr>
          <w:ilvl w:val="0"/>
          <w:numId w:val="42"/>
        </w:numPr>
        <w:ind w:firstLineChars="0"/>
        <w:rPr>
          <w:i w:val="0"/>
          <w:iCs w:val="0"/>
          <w:color w:val="auto"/>
          <w:sz w:val="21"/>
          <w:szCs w:val="15"/>
          <w:highlight w:val="none"/>
        </w:rPr>
      </w:pPr>
      <w:r>
        <w:rPr>
          <w:rFonts w:hint="eastAsia"/>
          <w:i w:val="0"/>
          <w:iCs w:val="0"/>
          <w:color w:val="auto"/>
          <w:sz w:val="21"/>
          <w:szCs w:val="15"/>
          <w:highlight w:val="none"/>
        </w:rPr>
        <w:t>出厂检验</w:t>
      </w:r>
    </w:p>
    <w:p w14:paraId="234F9DF7">
      <w:pPr>
        <w:pStyle w:val="142"/>
        <w:numPr>
          <w:ilvl w:val="0"/>
          <w:numId w:val="42"/>
        </w:numPr>
        <w:ind w:firstLineChars="0"/>
        <w:rPr>
          <w:i w:val="0"/>
          <w:iCs w:val="0"/>
          <w:color w:val="auto"/>
          <w:sz w:val="21"/>
          <w:szCs w:val="15"/>
          <w:highlight w:val="none"/>
        </w:rPr>
      </w:pPr>
      <w:r>
        <w:rPr>
          <w:rFonts w:hint="eastAsia"/>
          <w:i w:val="0"/>
          <w:iCs w:val="0"/>
          <w:color w:val="auto"/>
          <w:sz w:val="21"/>
          <w:szCs w:val="15"/>
          <w:highlight w:val="none"/>
        </w:rPr>
        <w:t>到货检查</w:t>
      </w:r>
    </w:p>
    <w:p w14:paraId="234F9DF8">
      <w:pPr>
        <w:pStyle w:val="142"/>
        <w:numPr>
          <w:ilvl w:val="0"/>
          <w:numId w:val="42"/>
        </w:numPr>
        <w:ind w:firstLineChars="0"/>
        <w:rPr>
          <w:i w:val="0"/>
          <w:iCs w:val="0"/>
          <w:color w:val="auto"/>
          <w:sz w:val="21"/>
          <w:szCs w:val="15"/>
          <w:highlight w:val="none"/>
        </w:rPr>
      </w:pPr>
      <w:r>
        <w:rPr>
          <w:rFonts w:hint="eastAsia"/>
          <w:i w:val="0"/>
          <w:iCs w:val="0"/>
          <w:color w:val="auto"/>
          <w:sz w:val="21"/>
          <w:szCs w:val="15"/>
          <w:highlight w:val="none"/>
        </w:rPr>
        <w:t>开箱检验</w:t>
      </w:r>
    </w:p>
    <w:p w14:paraId="234F9DF9">
      <w:pPr>
        <w:pStyle w:val="142"/>
        <w:numPr>
          <w:ilvl w:val="0"/>
          <w:numId w:val="42"/>
        </w:numPr>
        <w:ind w:firstLineChars="0"/>
        <w:rPr>
          <w:i w:val="0"/>
          <w:iCs w:val="0"/>
          <w:color w:val="auto"/>
          <w:sz w:val="21"/>
          <w:szCs w:val="15"/>
          <w:highlight w:val="none"/>
        </w:rPr>
      </w:pPr>
      <w:r>
        <w:rPr>
          <w:rFonts w:hint="eastAsia"/>
          <w:i w:val="0"/>
          <w:iCs w:val="0"/>
          <w:color w:val="auto"/>
          <w:sz w:val="21"/>
          <w:szCs w:val="15"/>
          <w:highlight w:val="none"/>
        </w:rPr>
        <w:t>安装验收</w:t>
      </w:r>
    </w:p>
    <w:p w14:paraId="234F9DFA">
      <w:pPr>
        <w:pStyle w:val="142"/>
        <w:numPr>
          <w:ilvl w:val="0"/>
          <w:numId w:val="42"/>
        </w:numPr>
        <w:ind w:firstLineChars="0"/>
        <w:rPr>
          <w:i w:val="0"/>
          <w:iCs w:val="0"/>
          <w:color w:val="auto"/>
          <w:sz w:val="21"/>
          <w:szCs w:val="15"/>
          <w:highlight w:val="none"/>
        </w:rPr>
      </w:pPr>
      <w:r>
        <w:rPr>
          <w:rFonts w:hint="eastAsia"/>
          <w:i w:val="0"/>
          <w:iCs w:val="0"/>
          <w:color w:val="auto"/>
          <w:sz w:val="21"/>
          <w:szCs w:val="15"/>
          <w:highlight w:val="none"/>
        </w:rPr>
        <w:t>完工测试（包括单机测试、系统测试、144小时系统连续试验等）</w:t>
      </w:r>
    </w:p>
    <w:p w14:paraId="234F9DFB">
      <w:pPr>
        <w:pStyle w:val="142"/>
        <w:numPr>
          <w:ilvl w:val="0"/>
          <w:numId w:val="42"/>
        </w:numPr>
        <w:ind w:firstLineChars="0"/>
        <w:rPr>
          <w:i w:val="0"/>
          <w:iCs w:val="0"/>
          <w:color w:val="auto"/>
          <w:sz w:val="21"/>
          <w:szCs w:val="15"/>
          <w:highlight w:val="none"/>
        </w:rPr>
      </w:pPr>
      <w:r>
        <w:rPr>
          <w:rFonts w:hint="eastAsia"/>
          <w:i w:val="0"/>
          <w:iCs w:val="0"/>
          <w:color w:val="auto"/>
          <w:sz w:val="21"/>
          <w:szCs w:val="15"/>
          <w:highlight w:val="none"/>
        </w:rPr>
        <w:t>大联调</w:t>
      </w:r>
    </w:p>
    <w:p w14:paraId="234F9DFC">
      <w:pPr>
        <w:pStyle w:val="142"/>
        <w:numPr>
          <w:ilvl w:val="0"/>
          <w:numId w:val="42"/>
        </w:numPr>
        <w:ind w:firstLineChars="0"/>
        <w:rPr>
          <w:i w:val="0"/>
          <w:iCs w:val="0"/>
          <w:color w:val="auto"/>
          <w:sz w:val="21"/>
          <w:szCs w:val="15"/>
          <w:highlight w:val="none"/>
        </w:rPr>
      </w:pPr>
      <w:r>
        <w:rPr>
          <w:rFonts w:hint="eastAsia"/>
          <w:i w:val="0"/>
          <w:iCs w:val="0"/>
          <w:color w:val="auto"/>
          <w:sz w:val="21"/>
          <w:szCs w:val="15"/>
          <w:highlight w:val="none"/>
        </w:rPr>
        <w:t>试运行</w:t>
      </w:r>
    </w:p>
    <w:p w14:paraId="234F9DF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投标人负责上述各次测试和试验的实施。每项测试和试验的30天前，投标人应将试验程序、检验标准提交招标人确认，投标人负责提供上述各次测试、试验的报告。</w:t>
      </w:r>
    </w:p>
    <w:p w14:paraId="234F9DF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招标人有权参加各次测试、试验并确认投标人提供的试验报告，招标人在测试、试验中的任何行为并不减轻投标人对产品质量的责任。</w:t>
      </w:r>
    </w:p>
    <w:p w14:paraId="234F9DF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各次测试的详细内容和方法，应在设计联络会议上由投标人提供，招标人确认。</w:t>
      </w:r>
    </w:p>
    <w:p w14:paraId="234F9E0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只有当该项测试和检验合格后，方能进入下一项测试和检验。</w:t>
      </w:r>
    </w:p>
    <w:p w14:paraId="234F9E01">
      <w:pPr>
        <w:pStyle w:val="4"/>
        <w:rPr>
          <w:i w:val="0"/>
          <w:iCs w:val="0"/>
          <w:color w:val="auto"/>
          <w:sz w:val="24"/>
          <w:szCs w:val="21"/>
          <w:highlight w:val="none"/>
        </w:rPr>
      </w:pPr>
      <w:bookmarkStart w:id="420" w:name="_Toc23757"/>
      <w:bookmarkStart w:id="421" w:name="_Toc216637950"/>
      <w:bookmarkStart w:id="422" w:name="_Toc201305020"/>
      <w:r>
        <w:rPr>
          <w:rFonts w:hint="eastAsia"/>
          <w:i w:val="0"/>
          <w:iCs w:val="0"/>
          <w:color w:val="auto"/>
          <w:sz w:val="24"/>
          <w:szCs w:val="21"/>
          <w:highlight w:val="none"/>
        </w:rPr>
        <w:t>工厂试验</w:t>
      </w:r>
      <w:bookmarkEnd w:id="420"/>
      <w:bookmarkEnd w:id="421"/>
      <w:bookmarkEnd w:id="422"/>
    </w:p>
    <w:p w14:paraId="234F9E02">
      <w:pPr>
        <w:pStyle w:val="6"/>
        <w:ind w:left="0"/>
        <w:rPr>
          <w:i w:val="0"/>
          <w:iCs w:val="0"/>
          <w:color w:val="auto"/>
          <w:sz w:val="22"/>
          <w:szCs w:val="22"/>
          <w:highlight w:val="none"/>
        </w:rPr>
      </w:pPr>
      <w:bookmarkStart w:id="423" w:name="_Toc21497"/>
      <w:r>
        <w:rPr>
          <w:rFonts w:hint="eastAsia"/>
          <w:i w:val="0"/>
          <w:iCs w:val="0"/>
          <w:color w:val="auto"/>
          <w:sz w:val="22"/>
          <w:szCs w:val="22"/>
          <w:highlight w:val="none"/>
        </w:rPr>
        <w:t>型式试验</w:t>
      </w:r>
      <w:bookmarkEnd w:id="423"/>
    </w:p>
    <w:p w14:paraId="234F9E0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型式试验在投标人工厂进行。试验内容必须满足合同中规定的要求，应至少包括环境试验、电源波动试验和性能试验。</w:t>
      </w:r>
    </w:p>
    <w:p w14:paraId="234F9E0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成熟标准的成熟产品不要求做型式试验，但必须提供相应的型式试验报告。</w:t>
      </w:r>
    </w:p>
    <w:p w14:paraId="234F9E0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所有未能通过测试的设备和系统按合同相关条款规定处理，投标人应负担由此引起的所有费用。</w:t>
      </w:r>
    </w:p>
    <w:p w14:paraId="234F9E06">
      <w:pPr>
        <w:pStyle w:val="6"/>
        <w:ind w:left="0"/>
        <w:rPr>
          <w:i w:val="0"/>
          <w:iCs w:val="0"/>
          <w:color w:val="auto"/>
          <w:sz w:val="22"/>
          <w:szCs w:val="22"/>
          <w:highlight w:val="none"/>
        </w:rPr>
      </w:pPr>
      <w:bookmarkStart w:id="424" w:name="_Toc18168"/>
      <w:r>
        <w:rPr>
          <w:rFonts w:hint="eastAsia"/>
          <w:i w:val="0"/>
          <w:iCs w:val="0"/>
          <w:color w:val="auto"/>
          <w:sz w:val="22"/>
          <w:szCs w:val="22"/>
          <w:highlight w:val="none"/>
        </w:rPr>
        <w:t>工厂测试</w:t>
      </w:r>
      <w:bookmarkEnd w:id="424"/>
    </w:p>
    <w:p w14:paraId="234F9E0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投标人应按照ISO9001的标准对所有的元器件进行例行检查，只有检查合格的元器件才能用于设备制造。招标人有权检查工厂测试报告。</w:t>
      </w:r>
    </w:p>
    <w:p w14:paraId="234F9E08">
      <w:pPr>
        <w:pStyle w:val="6"/>
        <w:ind w:left="0"/>
        <w:rPr>
          <w:i w:val="0"/>
          <w:iCs w:val="0"/>
          <w:color w:val="auto"/>
          <w:sz w:val="22"/>
          <w:szCs w:val="22"/>
          <w:highlight w:val="none"/>
        </w:rPr>
      </w:pPr>
      <w:bookmarkStart w:id="425" w:name="_Toc17063"/>
      <w:r>
        <w:rPr>
          <w:rFonts w:hint="eastAsia"/>
          <w:i w:val="0"/>
          <w:iCs w:val="0"/>
          <w:color w:val="auto"/>
          <w:sz w:val="22"/>
          <w:szCs w:val="22"/>
          <w:highlight w:val="none"/>
        </w:rPr>
        <w:t>样机试验</w:t>
      </w:r>
      <w:bookmarkEnd w:id="425"/>
    </w:p>
    <w:p w14:paraId="234F9E0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样机试验的目的是检验系统的设计是否满足合同中所述的功能。招标人有权派人员参加样机试验。</w:t>
      </w:r>
    </w:p>
    <w:p w14:paraId="234F9E0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成熟标准的产品不要求做样机试验。</w:t>
      </w:r>
    </w:p>
    <w:p w14:paraId="234F9E0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所有未能通过测试的设备按合同相关条款规定处理，投标人应负担由此引起的所有费用。</w:t>
      </w:r>
    </w:p>
    <w:p w14:paraId="234F9E0C">
      <w:pPr>
        <w:pStyle w:val="6"/>
        <w:ind w:left="0"/>
        <w:rPr>
          <w:i w:val="0"/>
          <w:iCs w:val="0"/>
          <w:color w:val="auto"/>
          <w:sz w:val="22"/>
          <w:szCs w:val="22"/>
          <w:highlight w:val="none"/>
        </w:rPr>
      </w:pPr>
      <w:bookmarkStart w:id="426" w:name="_Toc30474"/>
      <w:r>
        <w:rPr>
          <w:rFonts w:hint="eastAsia"/>
          <w:i w:val="0"/>
          <w:iCs w:val="0"/>
          <w:color w:val="auto"/>
          <w:sz w:val="22"/>
          <w:szCs w:val="22"/>
          <w:highlight w:val="none"/>
        </w:rPr>
        <w:t>接口试验</w:t>
      </w:r>
      <w:bookmarkEnd w:id="426"/>
    </w:p>
    <w:p w14:paraId="234F9E0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投标人应从设计阶段全面考虑整个系统设备的接口问题，特别是所供设备与其他系统设备及既有设备之间的接口。</w:t>
      </w:r>
    </w:p>
    <w:p w14:paraId="234F9E0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投标人应在合同签订后90天内按招标人的要求做好接口试验的全部计划和准备工作。</w:t>
      </w:r>
    </w:p>
    <w:p w14:paraId="234F9E0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投标人应在接口试验前提供系统仿真测试平台。</w:t>
      </w:r>
    </w:p>
    <w:p w14:paraId="234F9E1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接口试验由投标人负责，所需的全部费用含在合同总价中。</w:t>
      </w:r>
    </w:p>
    <w:p w14:paraId="234F9E1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接口试验出现问题，由投标人负责，其它供货商配合进行，直到试验成功，并且结果必须得到招标人的确认，方可认为该项工作结束。</w:t>
      </w:r>
    </w:p>
    <w:p w14:paraId="234F9E1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鉴于本工程在运营期实施，其它供货商已完成工程交付，当接口试验、系统联调出现问题时，投标人应对系统、设备进行调整，直到接口试验成功，相关费用均包含在本项目总价内，投标方不得另行提出相关费用。</w:t>
      </w:r>
    </w:p>
    <w:p w14:paraId="234F9E1A">
      <w:pPr>
        <w:pStyle w:val="4"/>
        <w:rPr>
          <w:i w:val="0"/>
          <w:iCs w:val="0"/>
          <w:color w:val="auto"/>
          <w:sz w:val="24"/>
          <w:szCs w:val="21"/>
          <w:highlight w:val="none"/>
        </w:rPr>
      </w:pPr>
      <w:bookmarkStart w:id="427" w:name="_Toc13119"/>
      <w:bookmarkStart w:id="428" w:name="_Toc216637951"/>
      <w:bookmarkStart w:id="429" w:name="_Toc201305021"/>
      <w:r>
        <w:rPr>
          <w:rFonts w:hint="eastAsia"/>
          <w:i w:val="0"/>
          <w:iCs w:val="0"/>
          <w:color w:val="auto"/>
          <w:sz w:val="24"/>
          <w:szCs w:val="21"/>
          <w:highlight w:val="none"/>
        </w:rPr>
        <w:t>出厂检验</w:t>
      </w:r>
      <w:bookmarkEnd w:id="427"/>
      <w:bookmarkEnd w:id="428"/>
      <w:bookmarkEnd w:id="429"/>
    </w:p>
    <w:p w14:paraId="234F9E1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设备和系统的出厂检验须有招标人到场参加。出厂检验应在投标人工厂内进行。主要包括下列内容：</w:t>
      </w:r>
    </w:p>
    <w:p w14:paraId="234F9E1C">
      <w:pPr>
        <w:pStyle w:val="142"/>
        <w:numPr>
          <w:ilvl w:val="0"/>
          <w:numId w:val="43"/>
        </w:numPr>
        <w:ind w:firstLineChars="0"/>
        <w:rPr>
          <w:i w:val="0"/>
          <w:iCs w:val="0"/>
          <w:color w:val="auto"/>
          <w:sz w:val="21"/>
          <w:szCs w:val="15"/>
          <w:highlight w:val="none"/>
        </w:rPr>
      </w:pPr>
      <w:r>
        <w:rPr>
          <w:rFonts w:hint="eastAsia"/>
          <w:i w:val="0"/>
          <w:iCs w:val="0"/>
          <w:color w:val="auto"/>
          <w:sz w:val="21"/>
          <w:szCs w:val="15"/>
          <w:highlight w:val="none"/>
        </w:rPr>
        <w:t>连续通电72小时试验；</w:t>
      </w:r>
    </w:p>
    <w:p w14:paraId="234F9E1D">
      <w:pPr>
        <w:pStyle w:val="142"/>
        <w:numPr>
          <w:ilvl w:val="0"/>
          <w:numId w:val="43"/>
        </w:numPr>
        <w:ind w:firstLineChars="0"/>
        <w:rPr>
          <w:i w:val="0"/>
          <w:iCs w:val="0"/>
          <w:color w:val="auto"/>
          <w:sz w:val="21"/>
          <w:szCs w:val="15"/>
          <w:highlight w:val="none"/>
        </w:rPr>
      </w:pPr>
      <w:r>
        <w:rPr>
          <w:rFonts w:hint="eastAsia"/>
          <w:i w:val="0"/>
          <w:iCs w:val="0"/>
          <w:color w:val="auto"/>
          <w:sz w:val="21"/>
          <w:szCs w:val="15"/>
          <w:highlight w:val="none"/>
        </w:rPr>
        <w:t>功能试验、性能试验；</w:t>
      </w:r>
    </w:p>
    <w:p w14:paraId="234F9E1E">
      <w:pPr>
        <w:pStyle w:val="142"/>
        <w:numPr>
          <w:ilvl w:val="0"/>
          <w:numId w:val="43"/>
        </w:numPr>
        <w:ind w:firstLineChars="0"/>
        <w:rPr>
          <w:i w:val="0"/>
          <w:iCs w:val="0"/>
          <w:color w:val="auto"/>
          <w:sz w:val="21"/>
          <w:szCs w:val="15"/>
          <w:highlight w:val="none"/>
        </w:rPr>
      </w:pPr>
      <w:r>
        <w:rPr>
          <w:rFonts w:hint="eastAsia"/>
          <w:i w:val="0"/>
          <w:iCs w:val="0"/>
          <w:color w:val="auto"/>
          <w:sz w:val="21"/>
          <w:szCs w:val="15"/>
          <w:highlight w:val="none"/>
        </w:rPr>
        <w:t>模拟故障及自动诊断试验；</w:t>
      </w:r>
    </w:p>
    <w:p w14:paraId="234F9E1F">
      <w:pPr>
        <w:pStyle w:val="142"/>
        <w:numPr>
          <w:ilvl w:val="0"/>
          <w:numId w:val="43"/>
        </w:numPr>
        <w:ind w:firstLineChars="0"/>
        <w:rPr>
          <w:i w:val="0"/>
          <w:iCs w:val="0"/>
          <w:color w:val="auto"/>
          <w:sz w:val="21"/>
          <w:szCs w:val="15"/>
          <w:highlight w:val="none"/>
        </w:rPr>
      </w:pPr>
      <w:r>
        <w:rPr>
          <w:rFonts w:hint="eastAsia"/>
          <w:i w:val="0"/>
          <w:iCs w:val="0"/>
          <w:color w:val="auto"/>
          <w:sz w:val="21"/>
          <w:szCs w:val="15"/>
          <w:highlight w:val="none"/>
        </w:rPr>
        <w:t>恢复供电后装置自动启动试验；</w:t>
      </w:r>
    </w:p>
    <w:p w14:paraId="234F9E20">
      <w:pPr>
        <w:pStyle w:val="142"/>
        <w:numPr>
          <w:ilvl w:val="0"/>
          <w:numId w:val="43"/>
        </w:numPr>
        <w:ind w:firstLineChars="0"/>
        <w:rPr>
          <w:i w:val="0"/>
          <w:iCs w:val="0"/>
          <w:color w:val="auto"/>
          <w:sz w:val="21"/>
          <w:szCs w:val="15"/>
          <w:highlight w:val="none"/>
        </w:rPr>
      </w:pPr>
      <w:r>
        <w:rPr>
          <w:rFonts w:hint="eastAsia"/>
          <w:i w:val="0"/>
          <w:iCs w:val="0"/>
          <w:color w:val="auto"/>
          <w:sz w:val="21"/>
          <w:szCs w:val="15"/>
          <w:highlight w:val="none"/>
        </w:rPr>
        <w:t>设备外观检查。</w:t>
      </w:r>
    </w:p>
    <w:p w14:paraId="234F9E2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本测试所涉及产品的全部电气和机械性能的内容和测试方法按合同的有关规定进行。</w:t>
      </w:r>
    </w:p>
    <w:p w14:paraId="234F9E2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本测试使用抽样测试，被检产品数量将按国际标准或生产厂商抽测标准进行。</w:t>
      </w:r>
    </w:p>
    <w:p w14:paraId="234F9E2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在抽样检查中，若有任何一台设备不合格，则扩大抽样数量，加倍再测(不含已测数量)。如仍有一台通不过，则认为该批产品不合格。投标人应将全部产品进行工艺上的改造，然后重新进行逐个检查。</w:t>
      </w:r>
    </w:p>
    <w:p w14:paraId="234F9E2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系统应满足合同规定的功能，被发现的故障应在出厂前纠正。</w:t>
      </w:r>
    </w:p>
    <w:p w14:paraId="234F9E2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投标人应安排在各系统提供商总部所在地进行的出厂检验，所需费用由投标人承担。</w:t>
      </w:r>
    </w:p>
    <w:p w14:paraId="234F9E26">
      <w:pPr>
        <w:pStyle w:val="4"/>
        <w:rPr>
          <w:i w:val="0"/>
          <w:iCs w:val="0"/>
          <w:color w:val="auto"/>
          <w:sz w:val="24"/>
          <w:szCs w:val="21"/>
          <w:highlight w:val="none"/>
        </w:rPr>
      </w:pPr>
      <w:bookmarkStart w:id="430" w:name="_Toc17266"/>
      <w:bookmarkStart w:id="431" w:name="_Toc201305022"/>
      <w:bookmarkStart w:id="432" w:name="_Toc216637952"/>
      <w:r>
        <w:rPr>
          <w:rFonts w:hint="eastAsia"/>
          <w:i w:val="0"/>
          <w:iCs w:val="0"/>
          <w:color w:val="auto"/>
          <w:sz w:val="24"/>
          <w:szCs w:val="21"/>
          <w:highlight w:val="none"/>
        </w:rPr>
        <w:t>到货检查</w:t>
      </w:r>
      <w:bookmarkEnd w:id="430"/>
      <w:bookmarkEnd w:id="431"/>
      <w:bookmarkEnd w:id="432"/>
    </w:p>
    <w:p w14:paraId="234F9E2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合同项下的设备、材料和技术文件运抵规定的交货地点后，招标人或招标人委托方和投标人人员共同对其进行检查，并认真做好交接记录，各方签字。检查的内容主要包括：</w:t>
      </w:r>
    </w:p>
    <w:p w14:paraId="234F9E28">
      <w:pPr>
        <w:pStyle w:val="142"/>
        <w:numPr>
          <w:ilvl w:val="0"/>
          <w:numId w:val="44"/>
        </w:numPr>
        <w:ind w:firstLineChars="0"/>
        <w:rPr>
          <w:i w:val="0"/>
          <w:iCs w:val="0"/>
          <w:color w:val="auto"/>
          <w:sz w:val="21"/>
          <w:szCs w:val="15"/>
          <w:highlight w:val="none"/>
        </w:rPr>
      </w:pPr>
      <w:r>
        <w:rPr>
          <w:rFonts w:hint="eastAsia"/>
          <w:i w:val="0"/>
          <w:iCs w:val="0"/>
          <w:color w:val="auto"/>
          <w:sz w:val="21"/>
          <w:szCs w:val="15"/>
          <w:highlight w:val="none"/>
        </w:rPr>
        <w:t>满足合同对包装的要求；</w:t>
      </w:r>
    </w:p>
    <w:p w14:paraId="234F9E29">
      <w:pPr>
        <w:pStyle w:val="142"/>
        <w:numPr>
          <w:ilvl w:val="0"/>
          <w:numId w:val="44"/>
        </w:numPr>
        <w:ind w:firstLineChars="0"/>
        <w:rPr>
          <w:i w:val="0"/>
          <w:iCs w:val="0"/>
          <w:color w:val="auto"/>
          <w:sz w:val="21"/>
          <w:szCs w:val="15"/>
          <w:highlight w:val="none"/>
        </w:rPr>
      </w:pPr>
      <w:r>
        <w:rPr>
          <w:rFonts w:hint="eastAsia"/>
          <w:i w:val="0"/>
          <w:iCs w:val="0"/>
          <w:color w:val="auto"/>
          <w:sz w:val="21"/>
          <w:szCs w:val="15"/>
          <w:highlight w:val="none"/>
        </w:rPr>
        <w:t>外观良好，运输途中未受损；</w:t>
      </w:r>
    </w:p>
    <w:p w14:paraId="234F9E2A">
      <w:pPr>
        <w:pStyle w:val="142"/>
        <w:numPr>
          <w:ilvl w:val="0"/>
          <w:numId w:val="44"/>
        </w:numPr>
        <w:ind w:firstLineChars="0"/>
        <w:rPr>
          <w:i w:val="0"/>
          <w:iCs w:val="0"/>
          <w:color w:val="auto"/>
          <w:sz w:val="21"/>
          <w:szCs w:val="15"/>
          <w:highlight w:val="none"/>
        </w:rPr>
      </w:pPr>
      <w:r>
        <w:rPr>
          <w:rFonts w:hint="eastAsia"/>
          <w:i w:val="0"/>
          <w:iCs w:val="0"/>
          <w:color w:val="auto"/>
          <w:sz w:val="21"/>
          <w:szCs w:val="15"/>
          <w:highlight w:val="none"/>
        </w:rPr>
        <w:t>编号、数量和名称与合同要求的货物清单核实无误。</w:t>
      </w:r>
    </w:p>
    <w:p w14:paraId="234F9E2B">
      <w:pPr>
        <w:pStyle w:val="4"/>
        <w:rPr>
          <w:i w:val="0"/>
          <w:iCs w:val="0"/>
          <w:color w:val="auto"/>
          <w:sz w:val="24"/>
          <w:szCs w:val="21"/>
          <w:highlight w:val="none"/>
        </w:rPr>
      </w:pPr>
      <w:bookmarkStart w:id="433" w:name="_Toc4502"/>
      <w:bookmarkStart w:id="434" w:name="_Toc216637953"/>
      <w:bookmarkStart w:id="435" w:name="_Toc201305023"/>
      <w:r>
        <w:rPr>
          <w:rFonts w:hint="eastAsia"/>
          <w:i w:val="0"/>
          <w:iCs w:val="0"/>
          <w:color w:val="auto"/>
          <w:sz w:val="24"/>
          <w:szCs w:val="21"/>
          <w:highlight w:val="none"/>
        </w:rPr>
        <w:t>开箱检验</w:t>
      </w:r>
      <w:bookmarkEnd w:id="433"/>
      <w:bookmarkEnd w:id="434"/>
      <w:bookmarkEnd w:id="435"/>
    </w:p>
    <w:p w14:paraId="234F9E2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到货检查后，招标人和投标人应按时间表开箱进行检验。货物的密封包装仍不得拆开。</w:t>
      </w:r>
    </w:p>
    <w:p w14:paraId="234F9E2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招标人应于上述到货开箱验货10天前，通知投标人验货日期，如果投标人不能按时抵达，招标人有权自行开箱，投标人应无条件确认开箱结果。</w:t>
      </w:r>
    </w:p>
    <w:p w14:paraId="234F9E2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若开箱检验中发现有诸如数量、型号和外观尺寸与合同不符，或密封包装物本身的短少和损坏，各方须记录并于7天内确认。投标人因自身原因未能到场，开箱检验记录可作为招标人向投标人索赔的依据。</w:t>
      </w:r>
    </w:p>
    <w:p w14:paraId="234F9E2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除非另有规定，投标人须在接到招标人索赔声明后45天内，修理、更换或补齐索赔货物，由此产生的费用应由投标人负担。</w:t>
      </w:r>
    </w:p>
    <w:p w14:paraId="234F9E3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因投标人过失而在验货和检验时发生修理、更换或补货等情形并导致工期延误，招标人有权据合同有关条款的规定对因此造成的直接损失向投标人索赔。</w:t>
      </w:r>
    </w:p>
    <w:p w14:paraId="234F9E3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开箱检验结束后，各方检验人员应签署开箱检验报告和交接单。</w:t>
      </w:r>
    </w:p>
    <w:p w14:paraId="234F9E32">
      <w:pPr>
        <w:pStyle w:val="4"/>
        <w:rPr>
          <w:i w:val="0"/>
          <w:iCs w:val="0"/>
          <w:color w:val="auto"/>
          <w:sz w:val="24"/>
          <w:szCs w:val="21"/>
          <w:highlight w:val="none"/>
        </w:rPr>
      </w:pPr>
      <w:bookmarkStart w:id="436" w:name="_Toc216637954"/>
      <w:bookmarkStart w:id="437" w:name="_Toc871"/>
      <w:bookmarkStart w:id="438" w:name="_Toc201305024"/>
      <w:r>
        <w:rPr>
          <w:rFonts w:hint="eastAsia"/>
          <w:i w:val="0"/>
          <w:iCs w:val="0"/>
          <w:color w:val="auto"/>
          <w:sz w:val="24"/>
          <w:szCs w:val="21"/>
          <w:highlight w:val="none"/>
        </w:rPr>
        <w:t>安装验收</w:t>
      </w:r>
      <w:bookmarkEnd w:id="436"/>
      <w:bookmarkEnd w:id="437"/>
      <w:bookmarkEnd w:id="438"/>
    </w:p>
    <w:p w14:paraId="234F9E3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每台设备和系统，在工地安装后，招标人和投标人代表按确认的安装验收标准进行安装验收，各方需到场参加和见证。</w:t>
      </w:r>
    </w:p>
    <w:p w14:paraId="234F9E3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安装验收须根据合同相关条款和计划的规定进行并完成。</w:t>
      </w:r>
    </w:p>
    <w:p w14:paraId="234F9E35">
      <w:pPr>
        <w:pStyle w:val="4"/>
        <w:rPr>
          <w:i w:val="0"/>
          <w:iCs w:val="0"/>
          <w:color w:val="auto"/>
          <w:sz w:val="24"/>
          <w:szCs w:val="21"/>
          <w:highlight w:val="none"/>
        </w:rPr>
      </w:pPr>
      <w:bookmarkStart w:id="439" w:name="_Toc20458"/>
      <w:bookmarkStart w:id="440" w:name="_Toc216637955"/>
      <w:bookmarkStart w:id="441" w:name="_Toc201305025"/>
      <w:r>
        <w:rPr>
          <w:rFonts w:hint="eastAsia"/>
          <w:i w:val="0"/>
          <w:iCs w:val="0"/>
          <w:color w:val="auto"/>
          <w:sz w:val="24"/>
          <w:szCs w:val="21"/>
          <w:highlight w:val="none"/>
        </w:rPr>
        <w:t>完工测试</w:t>
      </w:r>
      <w:bookmarkEnd w:id="439"/>
      <w:bookmarkEnd w:id="440"/>
      <w:bookmarkEnd w:id="441"/>
    </w:p>
    <w:p w14:paraId="234F9E3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完工测试的目的是检验投标人所提供系统的功能是否满足合同的要求。</w:t>
      </w:r>
    </w:p>
    <w:p w14:paraId="234F9E3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本合同设备安装调试期间，如果投标人提供的设备材料有缺陷，或由于投标人技术人员的指导错误或投标人提供的技术资料、图纸和说明书的错误造成设备、材料的损坏，投标人应立即无偿换货并负担由此产生的到安装现场的换货费用和风险，换货时间不迟于责任产生之日起30天内或不迟于双方同意的指定时间。</w:t>
      </w:r>
    </w:p>
    <w:p w14:paraId="234F9E38">
      <w:pPr>
        <w:pStyle w:val="6"/>
        <w:ind w:left="0"/>
        <w:rPr>
          <w:i w:val="0"/>
          <w:iCs w:val="0"/>
          <w:color w:val="auto"/>
          <w:sz w:val="22"/>
          <w:szCs w:val="22"/>
          <w:highlight w:val="none"/>
        </w:rPr>
      </w:pPr>
      <w:bookmarkStart w:id="442" w:name="_Toc8303"/>
      <w:r>
        <w:rPr>
          <w:rFonts w:hint="eastAsia"/>
          <w:i w:val="0"/>
          <w:iCs w:val="0"/>
          <w:color w:val="auto"/>
          <w:sz w:val="22"/>
          <w:szCs w:val="22"/>
          <w:highlight w:val="none"/>
        </w:rPr>
        <w:t>单机测试</w:t>
      </w:r>
      <w:bookmarkEnd w:id="442"/>
    </w:p>
    <w:p w14:paraId="234F9E3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本测试在设备安装后进行，目的是保证设备经远距离运输和安装后不发生损坏。</w:t>
      </w:r>
    </w:p>
    <w:p w14:paraId="234F9E3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所有单机设备的测试都应按合同的规定进行。</w:t>
      </w:r>
    </w:p>
    <w:p w14:paraId="234F9E3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达不到测试要求的单机设备，投标人负责修理和更换，并承担所需的全部费用。</w:t>
      </w:r>
    </w:p>
    <w:p w14:paraId="234F9E3C">
      <w:pPr>
        <w:pStyle w:val="6"/>
        <w:ind w:left="0"/>
        <w:rPr>
          <w:i w:val="0"/>
          <w:iCs w:val="0"/>
          <w:color w:val="auto"/>
          <w:sz w:val="22"/>
          <w:szCs w:val="22"/>
          <w:highlight w:val="none"/>
        </w:rPr>
      </w:pPr>
      <w:bookmarkStart w:id="443" w:name="_Toc30951"/>
      <w:r>
        <w:rPr>
          <w:rFonts w:hint="eastAsia"/>
          <w:i w:val="0"/>
          <w:iCs w:val="0"/>
          <w:color w:val="auto"/>
          <w:sz w:val="22"/>
          <w:szCs w:val="22"/>
          <w:highlight w:val="none"/>
        </w:rPr>
        <w:t>系统测试</w:t>
      </w:r>
      <w:bookmarkEnd w:id="443"/>
    </w:p>
    <w:p w14:paraId="234F9E3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单机测试后，各个系统全系统可开始系统测试。</w:t>
      </w:r>
    </w:p>
    <w:p w14:paraId="234F9E3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系统测试要进行全部的系统功能测试，并需达到合同规定的要求。</w:t>
      </w:r>
    </w:p>
    <w:p w14:paraId="234F9E3F">
      <w:pPr>
        <w:pStyle w:val="6"/>
        <w:ind w:left="0"/>
        <w:rPr>
          <w:i w:val="0"/>
          <w:iCs w:val="0"/>
          <w:color w:val="auto"/>
          <w:sz w:val="22"/>
          <w:szCs w:val="22"/>
          <w:highlight w:val="none"/>
        </w:rPr>
      </w:pPr>
      <w:bookmarkStart w:id="444" w:name="_Toc3286"/>
      <w:r>
        <w:rPr>
          <w:rFonts w:hint="eastAsia"/>
          <w:i w:val="0"/>
          <w:iCs w:val="0"/>
          <w:color w:val="auto"/>
          <w:sz w:val="22"/>
          <w:szCs w:val="22"/>
          <w:highlight w:val="none"/>
        </w:rPr>
        <w:t>144小时系统连续试验</w:t>
      </w:r>
      <w:bookmarkEnd w:id="444"/>
    </w:p>
    <w:p w14:paraId="234F9E40">
      <w:pPr>
        <w:pStyle w:val="142"/>
        <w:ind w:firstLine="420"/>
        <w:rPr>
          <w:rFonts w:hint="eastAsia"/>
          <w:i w:val="0"/>
          <w:iCs w:val="0"/>
          <w:color w:val="auto"/>
          <w:sz w:val="21"/>
          <w:szCs w:val="15"/>
          <w:highlight w:val="none"/>
          <w:lang w:val="en-US" w:eastAsia="zh-CN"/>
        </w:rPr>
      </w:pPr>
      <w:bookmarkStart w:id="445" w:name="_Toc216637956"/>
      <w:bookmarkStart w:id="446" w:name="_Toc201305026"/>
      <w:r>
        <w:rPr>
          <w:rFonts w:hint="eastAsia"/>
          <w:i w:val="0"/>
          <w:iCs w:val="0"/>
          <w:color w:val="auto"/>
          <w:sz w:val="21"/>
          <w:szCs w:val="15"/>
          <w:highlight w:val="none"/>
          <w:lang w:val="en-US" w:eastAsia="zh-CN"/>
        </w:rPr>
        <w:t>系统测试合格后，所有系统各自将各自系统设备连接起来进行不间断联合功能试验。144小时连续试验应在招标人认为系统测试成功结束时开始。</w:t>
      </w:r>
    </w:p>
    <w:p w14:paraId="234F9E4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在维修组织功能正常时，导致系统停止运行的系统、设备故障应被认为是系统故障。</w:t>
      </w:r>
    </w:p>
    <w:p w14:paraId="234F9E4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下列现象不认为是系统故障：</w:t>
      </w:r>
    </w:p>
    <w:p w14:paraId="234F9E43">
      <w:pPr>
        <w:pStyle w:val="142"/>
        <w:numPr>
          <w:ilvl w:val="0"/>
          <w:numId w:val="45"/>
        </w:numPr>
        <w:ind w:firstLineChars="0"/>
        <w:rPr>
          <w:i w:val="0"/>
          <w:iCs w:val="0"/>
          <w:color w:val="auto"/>
          <w:sz w:val="21"/>
          <w:szCs w:val="15"/>
          <w:highlight w:val="none"/>
        </w:rPr>
      </w:pPr>
      <w:r>
        <w:rPr>
          <w:rFonts w:hint="eastAsia"/>
          <w:i w:val="0"/>
          <w:iCs w:val="0"/>
          <w:color w:val="auto"/>
          <w:sz w:val="21"/>
          <w:szCs w:val="15"/>
          <w:highlight w:val="none"/>
        </w:rPr>
        <w:t>人为引起；</w:t>
      </w:r>
    </w:p>
    <w:p w14:paraId="234F9E44">
      <w:pPr>
        <w:pStyle w:val="142"/>
        <w:numPr>
          <w:ilvl w:val="0"/>
          <w:numId w:val="45"/>
        </w:numPr>
        <w:ind w:firstLineChars="0"/>
        <w:rPr>
          <w:i w:val="0"/>
          <w:iCs w:val="0"/>
          <w:color w:val="auto"/>
          <w:sz w:val="21"/>
          <w:szCs w:val="15"/>
          <w:highlight w:val="none"/>
        </w:rPr>
      </w:pPr>
      <w:r>
        <w:rPr>
          <w:rFonts w:hint="eastAsia"/>
          <w:i w:val="0"/>
          <w:iCs w:val="0"/>
          <w:color w:val="auto"/>
          <w:sz w:val="21"/>
          <w:szCs w:val="15"/>
          <w:highlight w:val="none"/>
        </w:rPr>
        <w:t>自然灾害；</w:t>
      </w:r>
    </w:p>
    <w:p w14:paraId="234F9E45">
      <w:pPr>
        <w:pStyle w:val="142"/>
        <w:numPr>
          <w:ilvl w:val="0"/>
          <w:numId w:val="45"/>
        </w:numPr>
        <w:ind w:firstLineChars="0"/>
        <w:rPr>
          <w:i w:val="0"/>
          <w:iCs w:val="0"/>
          <w:color w:val="auto"/>
          <w:sz w:val="21"/>
          <w:szCs w:val="15"/>
          <w:highlight w:val="none"/>
        </w:rPr>
      </w:pPr>
      <w:r>
        <w:rPr>
          <w:rFonts w:hint="eastAsia"/>
          <w:i w:val="0"/>
          <w:iCs w:val="0"/>
          <w:color w:val="auto"/>
          <w:sz w:val="21"/>
          <w:szCs w:val="15"/>
          <w:highlight w:val="none"/>
        </w:rPr>
        <w:t>外部电源停电时间超过规定值；</w:t>
      </w:r>
    </w:p>
    <w:p w14:paraId="234F9E46">
      <w:pPr>
        <w:pStyle w:val="142"/>
        <w:numPr>
          <w:ilvl w:val="0"/>
          <w:numId w:val="45"/>
        </w:numPr>
        <w:ind w:firstLineChars="0"/>
        <w:rPr>
          <w:i w:val="0"/>
          <w:iCs w:val="0"/>
          <w:color w:val="auto"/>
          <w:sz w:val="21"/>
          <w:szCs w:val="15"/>
          <w:highlight w:val="none"/>
        </w:rPr>
      </w:pPr>
      <w:r>
        <w:rPr>
          <w:rFonts w:hint="eastAsia"/>
          <w:i w:val="0"/>
          <w:iCs w:val="0"/>
          <w:color w:val="auto"/>
          <w:sz w:val="21"/>
          <w:szCs w:val="15"/>
          <w:highlight w:val="none"/>
        </w:rPr>
        <w:t>其他系统导致本系统中断引起的故障。</w:t>
      </w:r>
    </w:p>
    <w:p w14:paraId="234F9E4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试验期间，不允许出现系统故障，如出现则终止试验，投标人负责及时修复和更换，然后再重新开始144小时的试验，直至144小时试验通过。投标人需承担由此引起的所有费用，并承担由于上述故障造成的延误和直接、间接损失。</w:t>
      </w:r>
    </w:p>
    <w:p w14:paraId="234F9E4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如果第3次144小时试验仍通不过，则该系统设备将视为不符合同要求的系统设备。除对投标人处以合同规定的罚款外，合同双方将另行商量其善后措施。但投标人有责任迅速采取有效措施，包括更换主要设备等，由此引起的一切费用由投标人承担，并赔偿招标人在人力和时间上的损失。</w:t>
      </w:r>
    </w:p>
    <w:p w14:paraId="234F9E49">
      <w:pPr>
        <w:pStyle w:val="4"/>
        <w:rPr>
          <w:i w:val="0"/>
          <w:iCs w:val="0"/>
          <w:color w:val="auto"/>
          <w:sz w:val="24"/>
          <w:szCs w:val="21"/>
          <w:highlight w:val="none"/>
        </w:rPr>
      </w:pPr>
      <w:bookmarkStart w:id="447" w:name="_Toc18098"/>
      <w:r>
        <w:rPr>
          <w:rFonts w:hint="eastAsia"/>
          <w:i w:val="0"/>
          <w:iCs w:val="0"/>
          <w:color w:val="auto"/>
          <w:sz w:val="24"/>
          <w:szCs w:val="21"/>
          <w:highlight w:val="none"/>
        </w:rPr>
        <w:t>大联调</w:t>
      </w:r>
      <w:bookmarkEnd w:id="445"/>
      <w:bookmarkEnd w:id="446"/>
      <w:bookmarkEnd w:id="447"/>
    </w:p>
    <w:p w14:paraId="234F9E4A">
      <w:pPr>
        <w:pStyle w:val="142"/>
        <w:ind w:firstLine="420"/>
        <w:rPr>
          <w:rFonts w:hint="eastAsia"/>
          <w:i w:val="0"/>
          <w:iCs w:val="0"/>
          <w:color w:val="auto"/>
          <w:sz w:val="21"/>
          <w:szCs w:val="15"/>
          <w:highlight w:val="none"/>
          <w:lang w:val="en-US" w:eastAsia="zh-CN"/>
        </w:rPr>
      </w:pPr>
      <w:bookmarkStart w:id="448" w:name="_Toc216637957"/>
      <w:bookmarkStart w:id="449" w:name="_Toc201305027"/>
      <w:r>
        <w:rPr>
          <w:rFonts w:hint="eastAsia"/>
          <w:i w:val="0"/>
          <w:iCs w:val="0"/>
          <w:color w:val="auto"/>
          <w:sz w:val="21"/>
          <w:szCs w:val="15"/>
          <w:highlight w:val="none"/>
          <w:lang w:val="en-US" w:eastAsia="zh-CN"/>
        </w:rPr>
        <w:t>在完工测试通过后，将进入智慧地铁系统大联调。</w:t>
      </w:r>
    </w:p>
    <w:p w14:paraId="234F9E4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大联调是指智慧地铁系统和其他所有相关系统的联合调试。</w:t>
      </w:r>
    </w:p>
    <w:p w14:paraId="234F9E4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投标人负责系统的调试及与其他系统的接口检查，以保证所需联调的每组设备通过其接口达到的系统功能满足合同要求。</w:t>
      </w:r>
    </w:p>
    <w:p w14:paraId="234F9E4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大联调包括与其他系统的所有接口功能试验和综合联调试验两个阶段：</w:t>
      </w:r>
    </w:p>
    <w:p w14:paraId="234F9E4E">
      <w:pPr>
        <w:pStyle w:val="142"/>
        <w:numPr>
          <w:ilvl w:val="0"/>
          <w:numId w:val="46"/>
        </w:numPr>
        <w:ind w:firstLineChars="0"/>
        <w:rPr>
          <w:i w:val="0"/>
          <w:iCs w:val="0"/>
          <w:color w:val="auto"/>
          <w:sz w:val="21"/>
          <w:szCs w:val="15"/>
          <w:highlight w:val="none"/>
        </w:rPr>
      </w:pPr>
      <w:r>
        <w:rPr>
          <w:rFonts w:hint="eastAsia"/>
          <w:i w:val="0"/>
          <w:iCs w:val="0"/>
          <w:color w:val="auto"/>
          <w:sz w:val="21"/>
          <w:szCs w:val="15"/>
          <w:highlight w:val="none"/>
        </w:rPr>
        <w:t>接口功能试验是证明本系统所有与其他系统的接口功能正确；</w:t>
      </w:r>
    </w:p>
    <w:p w14:paraId="234F9E4F">
      <w:pPr>
        <w:pStyle w:val="142"/>
        <w:numPr>
          <w:ilvl w:val="0"/>
          <w:numId w:val="46"/>
        </w:numPr>
        <w:ind w:firstLineChars="0"/>
        <w:rPr>
          <w:i w:val="0"/>
          <w:iCs w:val="0"/>
          <w:color w:val="auto"/>
          <w:sz w:val="21"/>
          <w:szCs w:val="15"/>
          <w:highlight w:val="none"/>
        </w:rPr>
      </w:pPr>
      <w:r>
        <w:rPr>
          <w:rFonts w:hint="eastAsia"/>
          <w:i w:val="0"/>
          <w:iCs w:val="0"/>
          <w:color w:val="auto"/>
          <w:sz w:val="21"/>
          <w:szCs w:val="15"/>
          <w:highlight w:val="none"/>
        </w:rPr>
        <w:t>综合联调试验是证明轨道交通各相关专业的设备可以有机地结合在一起有效的工作，保证轨道交通正常的运营。</w:t>
      </w:r>
    </w:p>
    <w:p w14:paraId="234F9E50">
      <w:pPr>
        <w:pStyle w:val="4"/>
        <w:rPr>
          <w:i w:val="0"/>
          <w:iCs w:val="0"/>
          <w:color w:val="auto"/>
          <w:sz w:val="24"/>
          <w:szCs w:val="21"/>
          <w:highlight w:val="none"/>
        </w:rPr>
      </w:pPr>
      <w:bookmarkStart w:id="450" w:name="_Toc3859"/>
      <w:r>
        <w:rPr>
          <w:rFonts w:hint="eastAsia"/>
          <w:i w:val="0"/>
          <w:iCs w:val="0"/>
          <w:color w:val="auto"/>
          <w:sz w:val="24"/>
          <w:szCs w:val="21"/>
          <w:highlight w:val="none"/>
        </w:rPr>
        <w:t>预验收</w:t>
      </w:r>
      <w:bookmarkEnd w:id="448"/>
      <w:bookmarkEnd w:id="449"/>
      <w:bookmarkEnd w:id="450"/>
    </w:p>
    <w:p w14:paraId="234F9E5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在设备安装完工进行144小时系统连续试验通过后，投标人应提前30天通知招标人申请对设备或部分设备进行预验收。</w:t>
      </w:r>
    </w:p>
    <w:p w14:paraId="234F9E5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预验收按规定的要求进行，投标人配合操作。</w:t>
      </w:r>
    </w:p>
    <w:p w14:paraId="09C82C38">
      <w:pPr>
        <w:pStyle w:val="4"/>
        <w:rPr>
          <w:rFonts w:hint="eastAsia"/>
          <w:i w:val="0"/>
          <w:iCs w:val="0"/>
          <w:color w:val="auto"/>
          <w:sz w:val="24"/>
          <w:szCs w:val="21"/>
          <w:highlight w:val="none"/>
          <w:lang w:val="en-US" w:eastAsia="zh-CN"/>
        </w:rPr>
      </w:pPr>
      <w:bookmarkStart w:id="451" w:name="_Toc3905"/>
      <w:r>
        <w:rPr>
          <w:rFonts w:hint="eastAsia"/>
          <w:i w:val="0"/>
          <w:iCs w:val="0"/>
          <w:color w:val="auto"/>
          <w:sz w:val="24"/>
          <w:szCs w:val="21"/>
          <w:highlight w:val="none"/>
          <w:lang w:val="en-US" w:eastAsia="zh-CN"/>
        </w:rPr>
        <w:t>试运行</w:t>
      </w:r>
      <w:bookmarkEnd w:id="451"/>
    </w:p>
    <w:p w14:paraId="3F69079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预验收结束后，将开始试运行。在试运行开始前，各功能模块均应完全调试成功。</w:t>
      </w:r>
    </w:p>
    <w:p w14:paraId="267E801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试运行阶段对各系统的要求与144小时试验相同。</w:t>
      </w:r>
    </w:p>
    <w:p w14:paraId="5FA4AFC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试运行期间，投标人派人员自始至终参加，记录试运行期间设备和系统出现的各种情况。这种记录将按时间顺序和按设备分别登记，作为考核试验的原始资料，并作为竣工验收的依据。在此期间，各方还应根据出现的问题进行分析归类，判明故障的性质。</w:t>
      </w:r>
    </w:p>
    <w:p w14:paraId="234F9E53">
      <w:pPr>
        <w:pStyle w:val="4"/>
        <w:rPr>
          <w:i w:val="0"/>
          <w:iCs w:val="0"/>
          <w:color w:val="auto"/>
          <w:sz w:val="24"/>
          <w:szCs w:val="21"/>
          <w:highlight w:val="none"/>
        </w:rPr>
      </w:pPr>
      <w:bookmarkStart w:id="452" w:name="_Toc201305030"/>
      <w:bookmarkStart w:id="453" w:name="_Toc216637959"/>
      <w:bookmarkStart w:id="454" w:name="_Toc4405"/>
      <w:r>
        <w:rPr>
          <w:rFonts w:hint="eastAsia"/>
          <w:i w:val="0"/>
          <w:iCs w:val="0"/>
          <w:color w:val="auto"/>
          <w:sz w:val="24"/>
          <w:szCs w:val="21"/>
          <w:highlight w:val="none"/>
        </w:rPr>
        <w:t>初步验收</w:t>
      </w:r>
      <w:bookmarkEnd w:id="452"/>
      <w:bookmarkEnd w:id="453"/>
      <w:bookmarkEnd w:id="454"/>
    </w:p>
    <w:p w14:paraId="234F9E5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系统通过试运行后，组织初步验收工作；投标人向招标人提供完整的试运行报告进行审核确认，招标人在试运行报告确认后45天内签署初步验收证书。</w:t>
      </w:r>
    </w:p>
    <w:p w14:paraId="234F9E56">
      <w:pPr>
        <w:pStyle w:val="4"/>
        <w:rPr>
          <w:i w:val="0"/>
          <w:iCs w:val="0"/>
          <w:color w:val="auto"/>
          <w:sz w:val="24"/>
          <w:szCs w:val="21"/>
          <w:highlight w:val="none"/>
        </w:rPr>
      </w:pPr>
      <w:bookmarkStart w:id="455" w:name="_Toc6289"/>
      <w:bookmarkStart w:id="456" w:name="_Toc216637960"/>
      <w:bookmarkStart w:id="457" w:name="_Toc201305031"/>
      <w:r>
        <w:rPr>
          <w:rFonts w:hint="eastAsia"/>
          <w:i w:val="0"/>
          <w:iCs w:val="0"/>
          <w:color w:val="auto"/>
          <w:sz w:val="24"/>
          <w:szCs w:val="21"/>
          <w:highlight w:val="none"/>
        </w:rPr>
        <w:t>质保期</w:t>
      </w:r>
      <w:bookmarkEnd w:id="455"/>
      <w:bookmarkEnd w:id="456"/>
      <w:bookmarkEnd w:id="457"/>
    </w:p>
    <w:p w14:paraId="234F9E5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本工程各系统设备的质保期为2年，时间从本工程投标人取得招标人开具的初步验收证书之日开始计算。在系统质保期内，招标人/最终用户将对系统有关项目进行测试，检查系统运行的可靠性和稳定性。</w:t>
      </w:r>
    </w:p>
    <w:p w14:paraId="234F9E5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在质保期内，投标人负责解决系统所有的技术问题，协助招标人/最终用户对本系统的运营管理和维护，直至通过系统最终验收。</w:t>
      </w:r>
    </w:p>
    <w:p w14:paraId="234F9E5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系统设备开始供货到质保期结束前，若发现系统设备有质量问题或存在潜在质量问题，投标人应及时给予免费更换，并不能因此而影响工程进度；若发现系统存在的功能缺陷，达不到要求的实际功能时，投标人应负责给予解决，并不能因此而影响工程进度，质保期内投标人处理上述问题所发生的费用由投标人负责。</w:t>
      </w:r>
    </w:p>
    <w:p w14:paraId="234F9E5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质保期内，投标人应派专人配合招标人/最终用户进行必要的测试工作，提供必要的测试工具和测试仪器，并对测试过程中发现的设备异常情况及时予以分析和排除，必要时应按双方约定的时间提交正式的书面分析报告供招标人/最终用户备案。</w:t>
      </w:r>
    </w:p>
    <w:p w14:paraId="234F9E5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在质保期内，投标人应根据所供货产品的特点，对系统进行定期维护和保养，定期对所有设备进行巡检，发现问题及时解决，与维护保养相关的费用均含在投标总价中。</w:t>
      </w:r>
    </w:p>
    <w:p w14:paraId="234F9E5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投标人应提供质保期内有关服务的内容、具体实施方案、质量保证措施等。</w:t>
      </w:r>
    </w:p>
    <w:p w14:paraId="234F9E5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质保期期间将进行抽查各种测试项目，检查系统运行的可靠性和稳定性。</w:t>
      </w:r>
    </w:p>
    <w:p w14:paraId="234F9E5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系统质保期内投标人应协助招标人对系统进行管理、维护。</w:t>
      </w:r>
    </w:p>
    <w:p w14:paraId="234F9E5F">
      <w:pPr>
        <w:pStyle w:val="4"/>
        <w:rPr>
          <w:i w:val="0"/>
          <w:iCs w:val="0"/>
          <w:color w:val="auto"/>
          <w:sz w:val="24"/>
          <w:szCs w:val="21"/>
          <w:highlight w:val="none"/>
        </w:rPr>
      </w:pPr>
      <w:bookmarkStart w:id="458" w:name="_Toc23751"/>
      <w:bookmarkStart w:id="459" w:name="_Toc201305032"/>
      <w:bookmarkStart w:id="460" w:name="_Toc216637961"/>
      <w:r>
        <w:rPr>
          <w:rFonts w:hint="eastAsia"/>
          <w:i w:val="0"/>
          <w:iCs w:val="0"/>
          <w:color w:val="auto"/>
          <w:sz w:val="24"/>
          <w:szCs w:val="21"/>
          <w:highlight w:val="none"/>
        </w:rPr>
        <w:t>最终验收</w:t>
      </w:r>
      <w:bookmarkEnd w:id="458"/>
      <w:bookmarkEnd w:id="459"/>
      <w:bookmarkEnd w:id="460"/>
    </w:p>
    <w:p w14:paraId="234F9E6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质量保证期后进行最终验收。所有的标准、可靠性、记录分析报告都由双方进行检查，如招标人对整个项目无异议时，招标人应于质量保证期结束后45天内签署最终验收证书。投标人在本系统寿命期内仍有责任对相关系统发生的问题给予合作。</w:t>
      </w:r>
    </w:p>
    <w:p w14:paraId="234F9E6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若招标人认为工程中出现的疏漏和错误不影响最终验收证书的签署，招标人签署最终验收证书并注明存在的疏漏和错误。在此情况下，投标人应采取措施对存在的疏漏和错误（包括潜在的）进行修正，直至招标人满意为止。</w:t>
      </w:r>
    </w:p>
    <w:p w14:paraId="234F9E62">
      <w:pPr>
        <w:pStyle w:val="3"/>
        <w:rPr>
          <w:i w:val="0"/>
          <w:iCs w:val="0"/>
          <w:color w:val="auto"/>
          <w:sz w:val="24"/>
          <w:szCs w:val="32"/>
          <w:highlight w:val="none"/>
        </w:rPr>
      </w:pPr>
      <w:bookmarkStart w:id="461" w:name="_Toc15226"/>
      <w:r>
        <w:rPr>
          <w:rFonts w:hint="eastAsia"/>
          <w:i w:val="0"/>
          <w:iCs w:val="0"/>
          <w:color w:val="auto"/>
          <w:sz w:val="24"/>
          <w:szCs w:val="32"/>
          <w:highlight w:val="none"/>
        </w:rPr>
        <w:t>包装、发运、装卸与随箱文件</w:t>
      </w:r>
      <w:bookmarkEnd w:id="461"/>
    </w:p>
    <w:p w14:paraId="234F9E63">
      <w:pPr>
        <w:pStyle w:val="4"/>
        <w:rPr>
          <w:i w:val="0"/>
          <w:iCs w:val="0"/>
          <w:color w:val="auto"/>
          <w:sz w:val="24"/>
          <w:szCs w:val="21"/>
          <w:highlight w:val="none"/>
        </w:rPr>
      </w:pPr>
      <w:bookmarkStart w:id="462" w:name="_Toc85528809"/>
      <w:bookmarkStart w:id="463" w:name="_Toc11984"/>
      <w:bookmarkStart w:id="464" w:name="_Toc93674846"/>
      <w:bookmarkStart w:id="465" w:name="_Toc216637963"/>
      <w:r>
        <w:rPr>
          <w:rFonts w:hint="eastAsia"/>
          <w:i w:val="0"/>
          <w:iCs w:val="0"/>
          <w:color w:val="auto"/>
          <w:sz w:val="24"/>
          <w:szCs w:val="21"/>
          <w:highlight w:val="none"/>
        </w:rPr>
        <w:t>概述</w:t>
      </w:r>
      <w:bookmarkEnd w:id="462"/>
      <w:bookmarkEnd w:id="463"/>
      <w:bookmarkEnd w:id="464"/>
      <w:bookmarkEnd w:id="465"/>
    </w:p>
    <w:p w14:paraId="234F9E6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投标人应按招标人的要求及国家有关的规定对产品的包装、发运、装卸、储存建立一定的程序，形成文件并加以实施。</w:t>
      </w:r>
    </w:p>
    <w:p w14:paraId="234F9E65">
      <w:pPr>
        <w:pStyle w:val="4"/>
        <w:rPr>
          <w:i w:val="0"/>
          <w:iCs w:val="0"/>
          <w:color w:val="auto"/>
          <w:sz w:val="24"/>
          <w:szCs w:val="21"/>
          <w:highlight w:val="none"/>
        </w:rPr>
      </w:pPr>
      <w:bookmarkStart w:id="466" w:name="_Toc85528810"/>
      <w:bookmarkStart w:id="467" w:name="_Toc12847"/>
      <w:bookmarkStart w:id="468" w:name="_Toc216637964"/>
      <w:bookmarkStart w:id="469" w:name="_Toc93674847"/>
      <w:r>
        <w:rPr>
          <w:rFonts w:hint="eastAsia"/>
          <w:i w:val="0"/>
          <w:iCs w:val="0"/>
          <w:color w:val="auto"/>
          <w:sz w:val="24"/>
          <w:szCs w:val="21"/>
          <w:highlight w:val="none"/>
        </w:rPr>
        <w:t>包装</w:t>
      </w:r>
      <w:bookmarkEnd w:id="466"/>
      <w:bookmarkEnd w:id="467"/>
      <w:bookmarkEnd w:id="468"/>
      <w:bookmarkEnd w:id="469"/>
    </w:p>
    <w:p w14:paraId="234F9E6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投标人应对产品的包装、储存和标志过程进行控制，使之达到给定的要求（包括所使用的材料）。</w:t>
      </w:r>
    </w:p>
    <w:p w14:paraId="234F9E6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合同项下由投标人提供的所有设备和材料应具备适应内陆运输和多次搬运、装卸的坚固包装，并应根据货物特点及需要，采取防潮、防雨、防锈、防腐蚀、防震动等保护措施，以保证货物安全无损运抵招标人指定地点。</w:t>
      </w:r>
    </w:p>
    <w:p w14:paraId="234F9E6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对于大件设备应有固定的底座，外包装上应有吊装挂钩。</w:t>
      </w:r>
    </w:p>
    <w:p w14:paraId="234F9E69">
      <w:pPr>
        <w:pStyle w:val="4"/>
        <w:rPr>
          <w:i w:val="0"/>
          <w:iCs w:val="0"/>
          <w:color w:val="auto"/>
          <w:sz w:val="24"/>
          <w:szCs w:val="21"/>
          <w:highlight w:val="none"/>
        </w:rPr>
      </w:pPr>
      <w:bookmarkStart w:id="470" w:name="_Toc216637965"/>
      <w:bookmarkStart w:id="471" w:name="_Toc85528811"/>
      <w:bookmarkStart w:id="472" w:name="_Toc11484"/>
      <w:bookmarkStart w:id="473" w:name="_Toc93674848"/>
      <w:r>
        <w:rPr>
          <w:rFonts w:hint="eastAsia"/>
          <w:i w:val="0"/>
          <w:iCs w:val="0"/>
          <w:color w:val="auto"/>
          <w:sz w:val="24"/>
          <w:szCs w:val="21"/>
          <w:highlight w:val="none"/>
        </w:rPr>
        <w:t>装运</w:t>
      </w:r>
      <w:bookmarkEnd w:id="470"/>
      <w:bookmarkEnd w:id="471"/>
      <w:bookmarkEnd w:id="472"/>
      <w:bookmarkEnd w:id="473"/>
    </w:p>
    <w:p w14:paraId="234F9E6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对于单件设备，如安装配件等的采购由投标人自行负责，设备装运时应提前15天以书面形式通知招标人，并把货物的名称、数量、金额（按合同价）等资料提交招标人审查。</w:t>
      </w:r>
    </w:p>
    <w:p w14:paraId="234F9E6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对于从投标人所在地装运的设备，应在装运日期15天以内以书面形式将合同号、货物名称、装箱单、数量、箱数、总毛重、总体积(立方米表示)、每箱尺寸(长x宽x高)，单价、总金额和备妥待运的日期通知招标人确认。</w:t>
      </w:r>
    </w:p>
    <w:p w14:paraId="234F9E6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对于从投标人所在地装运的设备，应按站点分别装运且包装箱外应注明站点名称。</w:t>
      </w:r>
    </w:p>
    <w:p w14:paraId="234F9E6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所有设备应经招标人确认后方可装运。</w:t>
      </w:r>
    </w:p>
    <w:p w14:paraId="234F9E6E">
      <w:pPr>
        <w:pStyle w:val="4"/>
        <w:rPr>
          <w:i w:val="0"/>
          <w:iCs w:val="0"/>
          <w:color w:val="auto"/>
          <w:sz w:val="24"/>
          <w:szCs w:val="21"/>
          <w:highlight w:val="none"/>
        </w:rPr>
      </w:pPr>
      <w:bookmarkStart w:id="474" w:name="_Toc93674849"/>
      <w:bookmarkStart w:id="475" w:name="_Toc216637966"/>
      <w:bookmarkStart w:id="476" w:name="_Toc85528812"/>
      <w:bookmarkStart w:id="477" w:name="_Toc6060"/>
      <w:r>
        <w:rPr>
          <w:rFonts w:hint="eastAsia"/>
          <w:i w:val="0"/>
          <w:iCs w:val="0"/>
          <w:color w:val="auto"/>
          <w:sz w:val="24"/>
          <w:szCs w:val="21"/>
          <w:highlight w:val="none"/>
        </w:rPr>
        <w:t>装运标记</w:t>
      </w:r>
      <w:bookmarkEnd w:id="474"/>
      <w:bookmarkEnd w:id="475"/>
      <w:bookmarkEnd w:id="476"/>
      <w:bookmarkEnd w:id="477"/>
    </w:p>
    <w:p w14:paraId="234F9E6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从投标人所在地发出的货物，应在每一包装箱或货物的适当位置用不可擦除的油漆和明显的中文字样做出以下标记：</w:t>
      </w:r>
    </w:p>
    <w:p w14:paraId="234F9E70">
      <w:pPr>
        <w:pStyle w:val="142"/>
        <w:numPr>
          <w:ilvl w:val="0"/>
          <w:numId w:val="47"/>
        </w:numPr>
        <w:ind w:firstLineChars="0"/>
        <w:rPr>
          <w:i w:val="0"/>
          <w:iCs w:val="0"/>
          <w:color w:val="auto"/>
          <w:sz w:val="21"/>
          <w:szCs w:val="15"/>
          <w:highlight w:val="none"/>
        </w:rPr>
      </w:pPr>
      <w:r>
        <w:rPr>
          <w:rFonts w:hint="eastAsia"/>
          <w:i w:val="0"/>
          <w:iCs w:val="0"/>
          <w:color w:val="auto"/>
          <w:sz w:val="21"/>
          <w:szCs w:val="15"/>
          <w:highlight w:val="none"/>
        </w:rPr>
        <w:t>合同号；</w:t>
      </w:r>
    </w:p>
    <w:p w14:paraId="234F9E71">
      <w:pPr>
        <w:pStyle w:val="142"/>
        <w:numPr>
          <w:ilvl w:val="0"/>
          <w:numId w:val="47"/>
        </w:numPr>
        <w:ind w:firstLineChars="0"/>
        <w:rPr>
          <w:i w:val="0"/>
          <w:iCs w:val="0"/>
          <w:color w:val="auto"/>
          <w:sz w:val="21"/>
          <w:szCs w:val="15"/>
          <w:highlight w:val="none"/>
        </w:rPr>
      </w:pPr>
      <w:r>
        <w:rPr>
          <w:rFonts w:hint="eastAsia"/>
          <w:i w:val="0"/>
          <w:iCs w:val="0"/>
          <w:color w:val="auto"/>
          <w:sz w:val="21"/>
          <w:szCs w:val="15"/>
          <w:highlight w:val="none"/>
        </w:rPr>
        <w:t>装运标志；</w:t>
      </w:r>
    </w:p>
    <w:p w14:paraId="234F9E72">
      <w:pPr>
        <w:pStyle w:val="142"/>
        <w:numPr>
          <w:ilvl w:val="0"/>
          <w:numId w:val="47"/>
        </w:numPr>
        <w:ind w:firstLineChars="0"/>
        <w:rPr>
          <w:i w:val="0"/>
          <w:iCs w:val="0"/>
          <w:color w:val="auto"/>
          <w:sz w:val="21"/>
          <w:szCs w:val="15"/>
          <w:highlight w:val="none"/>
        </w:rPr>
      </w:pPr>
      <w:r>
        <w:rPr>
          <w:rFonts w:hint="eastAsia"/>
          <w:i w:val="0"/>
          <w:iCs w:val="0"/>
          <w:color w:val="auto"/>
          <w:sz w:val="21"/>
          <w:szCs w:val="15"/>
          <w:highlight w:val="none"/>
        </w:rPr>
        <w:t>收货人；</w:t>
      </w:r>
    </w:p>
    <w:p w14:paraId="234F9E73">
      <w:pPr>
        <w:pStyle w:val="142"/>
        <w:numPr>
          <w:ilvl w:val="0"/>
          <w:numId w:val="47"/>
        </w:numPr>
        <w:ind w:firstLineChars="0"/>
        <w:rPr>
          <w:i w:val="0"/>
          <w:iCs w:val="0"/>
          <w:color w:val="auto"/>
          <w:sz w:val="21"/>
          <w:szCs w:val="15"/>
          <w:highlight w:val="none"/>
        </w:rPr>
      </w:pPr>
      <w:r>
        <w:rPr>
          <w:rFonts w:hint="eastAsia"/>
          <w:i w:val="0"/>
          <w:iCs w:val="0"/>
          <w:color w:val="auto"/>
          <w:sz w:val="21"/>
          <w:szCs w:val="15"/>
          <w:highlight w:val="none"/>
        </w:rPr>
        <w:t>目的港；</w:t>
      </w:r>
    </w:p>
    <w:p w14:paraId="234F9E74">
      <w:pPr>
        <w:pStyle w:val="142"/>
        <w:numPr>
          <w:ilvl w:val="0"/>
          <w:numId w:val="47"/>
        </w:numPr>
        <w:ind w:firstLineChars="0"/>
        <w:rPr>
          <w:i w:val="0"/>
          <w:iCs w:val="0"/>
          <w:color w:val="auto"/>
          <w:sz w:val="21"/>
          <w:szCs w:val="15"/>
          <w:highlight w:val="none"/>
        </w:rPr>
      </w:pPr>
      <w:r>
        <w:rPr>
          <w:rFonts w:hint="eastAsia"/>
          <w:i w:val="0"/>
          <w:iCs w:val="0"/>
          <w:color w:val="auto"/>
          <w:sz w:val="21"/>
          <w:szCs w:val="15"/>
          <w:highlight w:val="none"/>
        </w:rPr>
        <w:t>件数：第    件共   件；</w:t>
      </w:r>
    </w:p>
    <w:p w14:paraId="234F9E75">
      <w:pPr>
        <w:pStyle w:val="142"/>
        <w:numPr>
          <w:ilvl w:val="0"/>
          <w:numId w:val="47"/>
        </w:numPr>
        <w:ind w:firstLineChars="0"/>
        <w:rPr>
          <w:i w:val="0"/>
          <w:iCs w:val="0"/>
          <w:color w:val="auto"/>
          <w:sz w:val="21"/>
          <w:szCs w:val="15"/>
          <w:highlight w:val="none"/>
        </w:rPr>
      </w:pPr>
      <w:r>
        <w:rPr>
          <w:rFonts w:hint="eastAsia"/>
          <w:i w:val="0"/>
          <w:iCs w:val="0"/>
          <w:color w:val="auto"/>
          <w:sz w:val="21"/>
          <w:szCs w:val="15"/>
          <w:highlight w:val="none"/>
        </w:rPr>
        <w:t>站点名称；</w:t>
      </w:r>
    </w:p>
    <w:p w14:paraId="234F9E76">
      <w:pPr>
        <w:pStyle w:val="142"/>
        <w:numPr>
          <w:ilvl w:val="0"/>
          <w:numId w:val="47"/>
        </w:numPr>
        <w:ind w:firstLineChars="0"/>
        <w:rPr>
          <w:i w:val="0"/>
          <w:iCs w:val="0"/>
          <w:color w:val="auto"/>
          <w:sz w:val="21"/>
          <w:szCs w:val="15"/>
          <w:highlight w:val="none"/>
        </w:rPr>
      </w:pPr>
      <w:r>
        <w:rPr>
          <w:rFonts w:hint="eastAsia"/>
          <w:i w:val="0"/>
          <w:iCs w:val="0"/>
          <w:color w:val="auto"/>
          <w:sz w:val="21"/>
          <w:szCs w:val="15"/>
          <w:highlight w:val="none"/>
        </w:rPr>
        <w:t>毛重/净重(Kg)；</w:t>
      </w:r>
    </w:p>
    <w:p w14:paraId="234F9E77">
      <w:pPr>
        <w:pStyle w:val="142"/>
        <w:numPr>
          <w:ilvl w:val="0"/>
          <w:numId w:val="47"/>
        </w:numPr>
        <w:ind w:firstLineChars="0"/>
        <w:rPr>
          <w:i w:val="0"/>
          <w:iCs w:val="0"/>
          <w:color w:val="auto"/>
          <w:sz w:val="21"/>
          <w:szCs w:val="15"/>
          <w:highlight w:val="none"/>
        </w:rPr>
      </w:pPr>
      <w:r>
        <w:rPr>
          <w:rFonts w:hint="eastAsia"/>
          <w:i w:val="0"/>
          <w:iCs w:val="0"/>
          <w:color w:val="auto"/>
          <w:sz w:val="21"/>
          <w:szCs w:val="15"/>
          <w:highlight w:val="none"/>
        </w:rPr>
        <w:t>尺寸(长x宽x高 cm)；</w:t>
      </w:r>
    </w:p>
    <w:p w14:paraId="234F9E78">
      <w:pPr>
        <w:pStyle w:val="142"/>
        <w:numPr>
          <w:ilvl w:val="0"/>
          <w:numId w:val="47"/>
        </w:numPr>
        <w:ind w:firstLineChars="0"/>
        <w:rPr>
          <w:i w:val="0"/>
          <w:iCs w:val="0"/>
          <w:color w:val="auto"/>
          <w:sz w:val="21"/>
          <w:szCs w:val="15"/>
          <w:highlight w:val="none"/>
        </w:rPr>
      </w:pPr>
      <w:r>
        <w:rPr>
          <w:rFonts w:hint="eastAsia"/>
          <w:i w:val="0"/>
          <w:iCs w:val="0"/>
          <w:color w:val="auto"/>
          <w:sz w:val="21"/>
          <w:szCs w:val="15"/>
          <w:highlight w:val="none"/>
        </w:rPr>
        <w:t>货物名称；</w:t>
      </w:r>
    </w:p>
    <w:p w14:paraId="234F9E79">
      <w:pPr>
        <w:pStyle w:val="142"/>
        <w:numPr>
          <w:ilvl w:val="0"/>
          <w:numId w:val="47"/>
        </w:numPr>
        <w:ind w:firstLineChars="0"/>
        <w:rPr>
          <w:i w:val="0"/>
          <w:iCs w:val="0"/>
          <w:color w:val="auto"/>
          <w:sz w:val="21"/>
          <w:szCs w:val="15"/>
          <w:highlight w:val="none"/>
        </w:rPr>
      </w:pPr>
      <w:r>
        <w:rPr>
          <w:rFonts w:hint="eastAsia"/>
          <w:i w:val="0"/>
          <w:iCs w:val="0"/>
          <w:color w:val="auto"/>
          <w:sz w:val="21"/>
          <w:szCs w:val="15"/>
          <w:highlight w:val="none"/>
        </w:rPr>
        <w:t>包装箱号。</w:t>
      </w:r>
    </w:p>
    <w:p w14:paraId="234F9E7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所有货物应按运输装卸的不同要求及货物本身的特性，分别标注“小心轻放”、“勿倒置”、“防潮”以及相应通用运输标记。</w:t>
      </w:r>
    </w:p>
    <w:p w14:paraId="234F9E7B">
      <w:pPr>
        <w:pStyle w:val="4"/>
        <w:rPr>
          <w:i w:val="0"/>
          <w:iCs w:val="0"/>
          <w:color w:val="auto"/>
          <w:sz w:val="24"/>
          <w:szCs w:val="21"/>
          <w:highlight w:val="none"/>
        </w:rPr>
      </w:pPr>
      <w:bookmarkStart w:id="478" w:name="_Toc93674850"/>
      <w:bookmarkStart w:id="479" w:name="_Toc19240"/>
      <w:bookmarkStart w:id="480" w:name="_Toc216637967"/>
      <w:bookmarkStart w:id="481" w:name="_Toc85528813"/>
      <w:r>
        <w:rPr>
          <w:rFonts w:hint="eastAsia"/>
          <w:i w:val="0"/>
          <w:iCs w:val="0"/>
          <w:color w:val="auto"/>
          <w:sz w:val="24"/>
          <w:szCs w:val="21"/>
          <w:highlight w:val="none"/>
        </w:rPr>
        <w:t>装卸</w:t>
      </w:r>
      <w:bookmarkEnd w:id="478"/>
      <w:bookmarkEnd w:id="479"/>
      <w:bookmarkEnd w:id="480"/>
      <w:bookmarkEnd w:id="481"/>
    </w:p>
    <w:p w14:paraId="234F9E7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投标人应提供产品装卸的方法与手段，以防止损坏或变质。</w:t>
      </w:r>
    </w:p>
    <w:p w14:paraId="234F9E7D">
      <w:pPr>
        <w:pStyle w:val="4"/>
        <w:rPr>
          <w:i w:val="0"/>
          <w:iCs w:val="0"/>
          <w:color w:val="auto"/>
          <w:sz w:val="24"/>
          <w:szCs w:val="21"/>
          <w:highlight w:val="none"/>
        </w:rPr>
      </w:pPr>
      <w:bookmarkStart w:id="482" w:name="_Toc1950"/>
      <w:bookmarkStart w:id="483" w:name="_Toc85528814"/>
      <w:bookmarkStart w:id="484" w:name="_Toc93674851"/>
      <w:bookmarkStart w:id="485" w:name="_Toc216637968"/>
      <w:r>
        <w:rPr>
          <w:rFonts w:hint="eastAsia"/>
          <w:i w:val="0"/>
          <w:iCs w:val="0"/>
          <w:color w:val="auto"/>
          <w:sz w:val="24"/>
          <w:szCs w:val="21"/>
          <w:highlight w:val="none"/>
        </w:rPr>
        <w:t>随箱文件</w:t>
      </w:r>
      <w:bookmarkEnd w:id="482"/>
      <w:bookmarkEnd w:id="483"/>
      <w:bookmarkEnd w:id="484"/>
      <w:bookmarkEnd w:id="485"/>
    </w:p>
    <w:p w14:paraId="234F9E7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每个包装箱的外部应附有一套装箱单，应密封在防水包装袋中，并牢固地固定在包装箱外。每个包装箱的内部同样应附有一套装箱单。</w:t>
      </w:r>
    </w:p>
    <w:p w14:paraId="234F9E7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设备的其他资料，如说明书、产品合格证等不随箱装运，另外成册装订提交招标人。</w:t>
      </w:r>
    </w:p>
    <w:p w14:paraId="234F9E8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注：投标人应按招标人的要求，在投标文件中提出详细的包装、发运、装卸与储存建议书。</w:t>
      </w:r>
    </w:p>
    <w:p w14:paraId="234F9E81">
      <w:pPr>
        <w:pStyle w:val="142"/>
        <w:ind w:firstLine="420"/>
        <w:rPr>
          <w:i w:val="0"/>
          <w:iCs w:val="0"/>
          <w:color w:val="auto"/>
          <w:sz w:val="21"/>
          <w:szCs w:val="15"/>
          <w:highlight w:val="none"/>
        </w:rPr>
      </w:pPr>
    </w:p>
    <w:p w14:paraId="234F9E82">
      <w:pPr>
        <w:pStyle w:val="3"/>
        <w:rPr>
          <w:i w:val="0"/>
          <w:iCs w:val="0"/>
          <w:color w:val="auto"/>
          <w:sz w:val="24"/>
          <w:szCs w:val="32"/>
          <w:highlight w:val="none"/>
        </w:rPr>
      </w:pPr>
      <w:bookmarkStart w:id="486" w:name="_Toc30064"/>
      <w:r>
        <w:rPr>
          <w:rFonts w:hint="eastAsia"/>
          <w:i w:val="0"/>
          <w:iCs w:val="0"/>
          <w:color w:val="auto"/>
          <w:sz w:val="24"/>
          <w:szCs w:val="32"/>
          <w:highlight w:val="none"/>
        </w:rPr>
        <w:t>交货</w:t>
      </w:r>
      <w:bookmarkEnd w:id="486"/>
    </w:p>
    <w:p w14:paraId="234F9E8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投标人应负责将货物交到招标人指定的交货地点（负责货物落地），并负责货物交到交货地点的一切费用，包括运输、装卸、清关、保险等费用。</w:t>
      </w:r>
    </w:p>
    <w:p w14:paraId="234F9E8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投标人应专人协助招标人做好设备到货后的相关管理工作。</w:t>
      </w:r>
    </w:p>
    <w:p w14:paraId="234F9E85">
      <w:pPr>
        <w:pStyle w:val="4"/>
        <w:rPr>
          <w:i w:val="0"/>
          <w:iCs w:val="0"/>
          <w:color w:val="auto"/>
          <w:sz w:val="24"/>
          <w:szCs w:val="21"/>
          <w:highlight w:val="none"/>
        </w:rPr>
      </w:pPr>
      <w:bookmarkStart w:id="487" w:name="_Toc93674853"/>
      <w:bookmarkStart w:id="488" w:name="_Toc2699"/>
      <w:bookmarkStart w:id="489" w:name="_Toc85528816"/>
      <w:r>
        <w:rPr>
          <w:rFonts w:hint="eastAsia"/>
          <w:i w:val="0"/>
          <w:iCs w:val="0"/>
          <w:color w:val="auto"/>
          <w:sz w:val="24"/>
          <w:szCs w:val="21"/>
          <w:highlight w:val="none"/>
        </w:rPr>
        <w:t>验交地点及收货人</w:t>
      </w:r>
      <w:bookmarkEnd w:id="487"/>
      <w:bookmarkEnd w:id="488"/>
      <w:bookmarkEnd w:id="489"/>
    </w:p>
    <w:p w14:paraId="234F9E8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验交地点：招标人指定地点</w:t>
      </w:r>
    </w:p>
    <w:p w14:paraId="234F9E8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收货人：招标人或招标人委托的第三方</w:t>
      </w:r>
    </w:p>
    <w:p w14:paraId="234F9E88">
      <w:pPr>
        <w:pStyle w:val="4"/>
        <w:rPr>
          <w:i w:val="0"/>
          <w:iCs w:val="0"/>
          <w:color w:val="auto"/>
          <w:sz w:val="24"/>
          <w:szCs w:val="21"/>
          <w:highlight w:val="none"/>
        </w:rPr>
      </w:pPr>
      <w:bookmarkStart w:id="490" w:name="_Toc85528817"/>
      <w:bookmarkStart w:id="491" w:name="_Toc93674854"/>
      <w:bookmarkStart w:id="492" w:name="_Toc5875"/>
      <w:r>
        <w:rPr>
          <w:rFonts w:hint="eastAsia"/>
          <w:i w:val="0"/>
          <w:iCs w:val="0"/>
          <w:color w:val="auto"/>
          <w:sz w:val="24"/>
          <w:szCs w:val="21"/>
          <w:highlight w:val="none"/>
        </w:rPr>
        <w:t>设备的交货</w:t>
      </w:r>
      <w:bookmarkEnd w:id="490"/>
      <w:bookmarkEnd w:id="491"/>
      <w:bookmarkEnd w:id="492"/>
    </w:p>
    <w:p w14:paraId="234F9E8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投标人的交货计划，根据招标人批准的施工组织方案合理安排设备、材料的供货计划，向招标人提交满足工期要求的详细的供货时间表。整个项目的完成及交货时间必须满足本工程确定的工期计划要求。</w:t>
      </w:r>
    </w:p>
    <w:p w14:paraId="234F9E8A">
      <w:pPr>
        <w:pStyle w:val="4"/>
        <w:rPr>
          <w:i w:val="0"/>
          <w:iCs w:val="0"/>
          <w:color w:val="auto"/>
          <w:sz w:val="24"/>
          <w:szCs w:val="21"/>
          <w:highlight w:val="none"/>
        </w:rPr>
      </w:pPr>
      <w:bookmarkStart w:id="493" w:name="_Toc6215"/>
      <w:bookmarkStart w:id="494" w:name="_Toc85528818"/>
      <w:bookmarkStart w:id="495" w:name="_Toc93674855"/>
      <w:r>
        <w:rPr>
          <w:rFonts w:hint="eastAsia"/>
          <w:i w:val="0"/>
          <w:iCs w:val="0"/>
          <w:color w:val="auto"/>
          <w:sz w:val="24"/>
          <w:szCs w:val="21"/>
          <w:highlight w:val="none"/>
        </w:rPr>
        <w:t>货物的保管</w:t>
      </w:r>
      <w:bookmarkEnd w:id="493"/>
      <w:bookmarkEnd w:id="494"/>
      <w:bookmarkEnd w:id="495"/>
    </w:p>
    <w:p w14:paraId="234F9E8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工程实施过程中对于设备的到货，招标人将进行必需的项目检查和检验，但不作为对供货的移交或接受。施工过程中设备无论是在仓库的保存保管还是已经在施工现场完成设备安装，施工后的成品保护等工作都应由投标人自行考虑。</w:t>
      </w:r>
    </w:p>
    <w:p w14:paraId="234F9E8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本工程系统及其设备的移交应在竣工验收后进行。</w:t>
      </w:r>
    </w:p>
    <w:p w14:paraId="234F9E8F">
      <w:pPr>
        <w:pStyle w:val="4"/>
        <w:rPr>
          <w:i w:val="0"/>
          <w:iCs w:val="0"/>
          <w:color w:val="auto"/>
          <w:sz w:val="24"/>
          <w:szCs w:val="21"/>
          <w:highlight w:val="none"/>
        </w:rPr>
      </w:pPr>
      <w:bookmarkStart w:id="496" w:name="_Toc17302"/>
      <w:bookmarkStart w:id="497" w:name="_Toc85528820"/>
      <w:bookmarkStart w:id="498" w:name="_Toc93674857"/>
      <w:r>
        <w:rPr>
          <w:rFonts w:hint="eastAsia"/>
          <w:i w:val="0"/>
          <w:iCs w:val="0"/>
          <w:color w:val="auto"/>
          <w:sz w:val="24"/>
          <w:szCs w:val="21"/>
          <w:highlight w:val="none"/>
        </w:rPr>
        <w:t>仪器仪表交货</w:t>
      </w:r>
      <w:bookmarkEnd w:id="496"/>
      <w:bookmarkEnd w:id="497"/>
      <w:bookmarkEnd w:id="498"/>
    </w:p>
    <w:p w14:paraId="234F9E9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仪器仪表根据合同要求交付招标人。</w:t>
      </w:r>
    </w:p>
    <w:p w14:paraId="234F9E91">
      <w:pPr>
        <w:pStyle w:val="3"/>
        <w:rPr>
          <w:i w:val="0"/>
          <w:iCs w:val="0"/>
          <w:color w:val="auto"/>
          <w:sz w:val="24"/>
          <w:szCs w:val="32"/>
          <w:highlight w:val="none"/>
        </w:rPr>
      </w:pPr>
      <w:bookmarkStart w:id="499" w:name="_Toc93674858"/>
      <w:bookmarkStart w:id="500" w:name="_Toc85528821"/>
      <w:bookmarkStart w:id="501" w:name="_Toc2805"/>
      <w:r>
        <w:rPr>
          <w:rFonts w:hint="eastAsia"/>
          <w:i w:val="0"/>
          <w:iCs w:val="0"/>
          <w:color w:val="auto"/>
          <w:sz w:val="24"/>
          <w:szCs w:val="32"/>
          <w:highlight w:val="none"/>
        </w:rPr>
        <w:t>技术服务及要求</w:t>
      </w:r>
      <w:bookmarkEnd w:id="499"/>
      <w:bookmarkEnd w:id="500"/>
      <w:bookmarkEnd w:id="501"/>
      <w:r>
        <w:rPr>
          <w:rFonts w:hint="eastAsia" w:ascii="Times New Roman" w:hAnsi="Times New Roman" w:cs="Times New Roman"/>
          <w:i w:val="0"/>
          <w:iCs w:val="0"/>
          <w:color w:val="auto"/>
          <w:sz w:val="24"/>
          <w:szCs w:val="32"/>
          <w:highlight w:val="none"/>
        </w:rPr>
        <w:t>★</w:t>
      </w:r>
    </w:p>
    <w:p w14:paraId="234F9E9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投标人应在方案优化、设计联络、技术文件、系统及设备维护、系统扩展升级、及时服务、人员培训、售后服务等方面，提供完善的技术服务。</w:t>
      </w:r>
    </w:p>
    <w:p w14:paraId="234F9E9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投标人的技术服务至少包括以下几个方面∶</w:t>
      </w:r>
    </w:p>
    <w:p w14:paraId="234F9E9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完成并提供智慧地铁云平台扩容、防洪防汛应急处置、车站智能视频分析、FAS与门禁系统智能联动、列车司机行为实时监测、智慧人脸门禁、智能钥匙柜、智能运维、维修作业系统、智慧公寓管理系统的优化设计，包括设计图纸、设计说明书、设计计算书、系统设备的全部技术资料等，并配合完成施工图设计。</w:t>
      </w:r>
    </w:p>
    <w:p w14:paraId="234F9E9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设备的生产、检验、运输、报关、仓储、交货、安装配合、编程调试、验收、培训、维保服务等方面的质量保证体系和文件。</w:t>
      </w:r>
    </w:p>
    <w:p w14:paraId="234F9E9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供货方对施工方所提供的技术培训和安装指导服务。</w:t>
      </w:r>
    </w:p>
    <w:p w14:paraId="234F9E9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对智慧地铁云平台扩容、防洪防汛应急处置、车站智能视频分析、FAS与门禁系统智能联动、列车司机行为实时监测、智慧人脸门禁、智能钥匙柜、智能运维、维修作业系统、智慧公寓管理系统设备的单机编程、调试、接口调试、联网调试、全线系统联调等工作。</w:t>
      </w:r>
    </w:p>
    <w:p w14:paraId="234F9E9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对系统设备运营方的技术操作培训和系统维护培训服务。</w:t>
      </w:r>
    </w:p>
    <w:p w14:paraId="234F9E9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系统投入运营阶段后，维保期内对系统的维护保养服务。</w:t>
      </w:r>
    </w:p>
    <w:p w14:paraId="234F9E9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系统主要设备（服务器、交换机等）应在长沙具有售后服务常驻机构并设置维护服务地点，投标时应提供地址及联系人，要求投标人提供工程实施期间及质保期内的7x24小时的设备原厂的上门保修服务。</w:t>
      </w:r>
    </w:p>
    <w:p w14:paraId="234F9E9B">
      <w:pPr>
        <w:pStyle w:val="3"/>
        <w:rPr>
          <w:i w:val="0"/>
          <w:iCs w:val="0"/>
          <w:color w:val="auto"/>
          <w:sz w:val="24"/>
          <w:szCs w:val="32"/>
          <w:highlight w:val="none"/>
        </w:rPr>
      </w:pPr>
      <w:bookmarkStart w:id="502" w:name="_Toc4963"/>
      <w:r>
        <w:rPr>
          <w:rFonts w:hint="eastAsia"/>
          <w:i w:val="0"/>
          <w:iCs w:val="0"/>
          <w:color w:val="auto"/>
          <w:sz w:val="24"/>
          <w:szCs w:val="32"/>
          <w:highlight w:val="none"/>
        </w:rPr>
        <w:t>技术培训</w:t>
      </w:r>
      <w:bookmarkEnd w:id="502"/>
      <w:r>
        <w:rPr>
          <w:rFonts w:hint="eastAsia" w:ascii="Times New Roman" w:hAnsi="Times New Roman" w:cs="Times New Roman"/>
          <w:i w:val="0"/>
          <w:iCs w:val="0"/>
          <w:color w:val="auto"/>
          <w:sz w:val="24"/>
          <w:szCs w:val="32"/>
          <w:highlight w:val="none"/>
        </w:rPr>
        <w:t>★</w:t>
      </w:r>
    </w:p>
    <w:p w14:paraId="234F9E9C">
      <w:pPr>
        <w:pStyle w:val="4"/>
        <w:rPr>
          <w:i w:val="0"/>
          <w:iCs w:val="0"/>
          <w:color w:val="auto"/>
          <w:sz w:val="24"/>
          <w:szCs w:val="21"/>
          <w:highlight w:val="none"/>
        </w:rPr>
      </w:pPr>
      <w:bookmarkStart w:id="503" w:name="_Toc216637972"/>
      <w:bookmarkStart w:id="504" w:name="_Toc93674860"/>
      <w:bookmarkStart w:id="505" w:name="_Toc28452"/>
      <w:bookmarkStart w:id="506" w:name="_Toc85528823"/>
      <w:r>
        <w:rPr>
          <w:rFonts w:hint="eastAsia"/>
          <w:i w:val="0"/>
          <w:iCs w:val="0"/>
          <w:color w:val="auto"/>
          <w:sz w:val="24"/>
          <w:szCs w:val="21"/>
          <w:highlight w:val="none"/>
        </w:rPr>
        <w:t>培训目的</w:t>
      </w:r>
      <w:bookmarkEnd w:id="503"/>
      <w:bookmarkEnd w:id="504"/>
      <w:bookmarkEnd w:id="505"/>
      <w:bookmarkEnd w:id="506"/>
    </w:p>
    <w:p w14:paraId="234F9E9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培训目的主要是培养能熟练操作和维修业务系统的操作人员和维修人员，使他们获得必要的知识和技巧，并能熟练地使用这些知识和技巧操作和维修系统，直到全部达标为止，保证使招标人人员在工程完工后能够：</w:t>
      </w:r>
    </w:p>
    <w:p w14:paraId="234F9E9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在公共交通服务的商业运营时能安全有效地操作系统设备；</w:t>
      </w:r>
    </w:p>
    <w:p w14:paraId="234F9E9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在公共交通服务的商业运营中对全部工程提供安全、称职、有效的操作、修理和检查。</w:t>
      </w:r>
    </w:p>
    <w:p w14:paraId="234F9EA0">
      <w:pPr>
        <w:pStyle w:val="4"/>
        <w:rPr>
          <w:i w:val="0"/>
          <w:iCs w:val="0"/>
          <w:color w:val="auto"/>
          <w:sz w:val="24"/>
          <w:szCs w:val="21"/>
          <w:highlight w:val="none"/>
        </w:rPr>
      </w:pPr>
      <w:bookmarkStart w:id="507" w:name="_Toc216637973"/>
      <w:bookmarkStart w:id="508" w:name="_Toc2737"/>
      <w:bookmarkStart w:id="509" w:name="_Toc85528824"/>
      <w:bookmarkStart w:id="510" w:name="_Toc93674861"/>
      <w:r>
        <w:rPr>
          <w:rFonts w:hint="eastAsia"/>
          <w:i w:val="0"/>
          <w:iCs w:val="0"/>
          <w:color w:val="auto"/>
          <w:sz w:val="24"/>
          <w:szCs w:val="21"/>
          <w:highlight w:val="none"/>
        </w:rPr>
        <w:t>培训要求</w:t>
      </w:r>
      <w:bookmarkEnd w:id="507"/>
      <w:bookmarkEnd w:id="508"/>
      <w:bookmarkEnd w:id="509"/>
      <w:bookmarkEnd w:id="510"/>
    </w:p>
    <w:p w14:paraId="234F9EA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培训对象为招标人的工程技术人员、运营操作人员及维护管理人员。</w:t>
      </w:r>
    </w:p>
    <w:p w14:paraId="234F9EA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有责任对招标人指定的人员进行维修、操作培训，并提供良好的技术培训条件，使其能胜任系统的工程设计、安装、调试、维修、软硬件故障处理及熟练掌握系统的操作运用。通过培训应使被培训人员获得足够的技能和知识，达到运营、维护和将来升级所必需的要求。投标人负责派出经验丰富的授课人员对招标人人员进行培训，使招标人人员能全面掌握系统的操作、维护及扩展等技能。</w:t>
      </w:r>
    </w:p>
    <w:p w14:paraId="234F9EA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对招标人人员的培训在招标人所在地（现场培训）进行，参加培训所发生的费用由投标人负责。</w:t>
      </w:r>
    </w:p>
    <w:p w14:paraId="234F9EA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投标人负责对安装队进行现场培训，使安装队能正确安装系统设备。</w:t>
      </w:r>
    </w:p>
    <w:p w14:paraId="234F9EA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投标人应提供培训所需的教学设备、仪器、资料等。</w:t>
      </w:r>
    </w:p>
    <w:p w14:paraId="234F9EA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投标人应提供培训的场地（现场培训除外）。</w:t>
      </w:r>
    </w:p>
    <w:p w14:paraId="234F9EA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投标人应安排具有一定理论水平、丰富实践经验、一定教学经验的人员投入培训教学，并在投标文件中提供教员的有关资质。</w:t>
      </w:r>
    </w:p>
    <w:p w14:paraId="234F9EA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投标人负责所有培训资料的准备。</w:t>
      </w:r>
    </w:p>
    <w:p w14:paraId="234F9EA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培训语言为中文。</w:t>
      </w:r>
    </w:p>
    <w:p w14:paraId="234F9EA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投标人应在投标时详细提出技术培训的建议书。</w:t>
      </w:r>
    </w:p>
    <w:p w14:paraId="234F9EAB">
      <w:pPr>
        <w:pStyle w:val="4"/>
        <w:rPr>
          <w:i w:val="0"/>
          <w:iCs w:val="0"/>
          <w:color w:val="auto"/>
          <w:sz w:val="24"/>
          <w:szCs w:val="21"/>
          <w:highlight w:val="none"/>
        </w:rPr>
      </w:pPr>
      <w:bookmarkStart w:id="511" w:name="_Toc216637974"/>
      <w:bookmarkStart w:id="512" w:name="_Toc16843"/>
      <w:bookmarkStart w:id="513" w:name="_Toc93674862"/>
      <w:bookmarkStart w:id="514" w:name="_Toc85528825"/>
      <w:r>
        <w:rPr>
          <w:rFonts w:hint="eastAsia"/>
          <w:i w:val="0"/>
          <w:iCs w:val="0"/>
          <w:color w:val="auto"/>
          <w:sz w:val="24"/>
          <w:szCs w:val="21"/>
          <w:highlight w:val="none"/>
        </w:rPr>
        <w:t>培训计划</w:t>
      </w:r>
      <w:bookmarkEnd w:id="511"/>
      <w:bookmarkEnd w:id="512"/>
      <w:bookmarkEnd w:id="513"/>
      <w:bookmarkEnd w:id="514"/>
    </w:p>
    <w:p w14:paraId="234F9EA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投标人应向招标人提供培训计划，并交由招标人确认，培训计划应包括：</w:t>
      </w:r>
    </w:p>
    <w:p w14:paraId="234F9EAD">
      <w:pPr>
        <w:pStyle w:val="142"/>
        <w:numPr>
          <w:ilvl w:val="0"/>
          <w:numId w:val="48"/>
        </w:numPr>
        <w:ind w:left="420" w:leftChars="0" w:hanging="420" w:firstLineChars="0"/>
        <w:rPr>
          <w:rFonts w:hint="eastAsia"/>
          <w:i w:val="0"/>
          <w:iCs w:val="0"/>
          <w:color w:val="auto"/>
          <w:sz w:val="21"/>
          <w:szCs w:val="15"/>
          <w:highlight w:val="none"/>
        </w:rPr>
      </w:pPr>
      <w:r>
        <w:rPr>
          <w:rFonts w:hint="eastAsia"/>
          <w:i w:val="0"/>
          <w:iCs w:val="0"/>
          <w:color w:val="auto"/>
          <w:sz w:val="21"/>
          <w:szCs w:val="15"/>
          <w:highlight w:val="none"/>
        </w:rPr>
        <w:t>培训的课程（包括理论课和实践课）；</w:t>
      </w:r>
    </w:p>
    <w:p w14:paraId="234F9EAE">
      <w:pPr>
        <w:pStyle w:val="142"/>
        <w:numPr>
          <w:ilvl w:val="0"/>
          <w:numId w:val="48"/>
        </w:numPr>
        <w:ind w:left="420" w:leftChars="0" w:hanging="420" w:firstLineChars="0"/>
        <w:rPr>
          <w:rFonts w:hint="eastAsia"/>
          <w:i w:val="0"/>
          <w:iCs w:val="0"/>
          <w:color w:val="auto"/>
          <w:sz w:val="21"/>
          <w:szCs w:val="15"/>
          <w:highlight w:val="none"/>
        </w:rPr>
      </w:pPr>
      <w:r>
        <w:rPr>
          <w:rFonts w:hint="eastAsia"/>
          <w:i w:val="0"/>
          <w:iCs w:val="0"/>
          <w:color w:val="auto"/>
          <w:sz w:val="21"/>
          <w:szCs w:val="15"/>
          <w:highlight w:val="none"/>
        </w:rPr>
        <w:t>培训的目标；</w:t>
      </w:r>
    </w:p>
    <w:p w14:paraId="234F9EAF">
      <w:pPr>
        <w:pStyle w:val="142"/>
        <w:numPr>
          <w:ilvl w:val="0"/>
          <w:numId w:val="48"/>
        </w:numPr>
        <w:ind w:left="420" w:leftChars="0" w:hanging="420" w:firstLineChars="0"/>
        <w:rPr>
          <w:rFonts w:hint="eastAsia"/>
          <w:i w:val="0"/>
          <w:iCs w:val="0"/>
          <w:color w:val="auto"/>
          <w:sz w:val="21"/>
          <w:szCs w:val="15"/>
          <w:highlight w:val="none"/>
        </w:rPr>
      </w:pPr>
      <w:r>
        <w:rPr>
          <w:rFonts w:hint="eastAsia"/>
          <w:i w:val="0"/>
          <w:iCs w:val="0"/>
          <w:color w:val="auto"/>
          <w:sz w:val="21"/>
          <w:szCs w:val="15"/>
          <w:highlight w:val="none"/>
        </w:rPr>
        <w:t>培训开始时间和结束时间；</w:t>
      </w:r>
    </w:p>
    <w:p w14:paraId="234F9EB0">
      <w:pPr>
        <w:pStyle w:val="142"/>
        <w:numPr>
          <w:ilvl w:val="0"/>
          <w:numId w:val="48"/>
        </w:numPr>
        <w:ind w:left="420" w:leftChars="0" w:hanging="420" w:firstLineChars="0"/>
        <w:rPr>
          <w:rFonts w:hint="eastAsia"/>
          <w:i w:val="0"/>
          <w:iCs w:val="0"/>
          <w:color w:val="auto"/>
          <w:sz w:val="21"/>
          <w:szCs w:val="15"/>
          <w:highlight w:val="none"/>
        </w:rPr>
      </w:pPr>
      <w:r>
        <w:rPr>
          <w:rFonts w:hint="eastAsia"/>
          <w:i w:val="0"/>
          <w:iCs w:val="0"/>
          <w:color w:val="auto"/>
          <w:sz w:val="21"/>
          <w:szCs w:val="15"/>
          <w:highlight w:val="none"/>
        </w:rPr>
        <w:t>使用的培训设施；</w:t>
      </w:r>
    </w:p>
    <w:p w14:paraId="234F9EB1">
      <w:pPr>
        <w:pStyle w:val="142"/>
        <w:numPr>
          <w:ilvl w:val="0"/>
          <w:numId w:val="48"/>
        </w:numPr>
        <w:ind w:left="420" w:leftChars="0" w:hanging="420" w:firstLineChars="0"/>
        <w:rPr>
          <w:rFonts w:hint="eastAsia"/>
          <w:i w:val="0"/>
          <w:iCs w:val="0"/>
          <w:color w:val="auto"/>
          <w:sz w:val="21"/>
          <w:szCs w:val="15"/>
          <w:highlight w:val="none"/>
        </w:rPr>
      </w:pPr>
      <w:r>
        <w:rPr>
          <w:rFonts w:hint="eastAsia"/>
          <w:i w:val="0"/>
          <w:iCs w:val="0"/>
          <w:color w:val="auto"/>
          <w:sz w:val="21"/>
          <w:szCs w:val="15"/>
          <w:highlight w:val="none"/>
        </w:rPr>
        <w:t>培训的材料和文件；</w:t>
      </w:r>
    </w:p>
    <w:p w14:paraId="234F9EB2">
      <w:pPr>
        <w:pStyle w:val="142"/>
        <w:numPr>
          <w:ilvl w:val="0"/>
          <w:numId w:val="48"/>
        </w:numPr>
        <w:ind w:left="420" w:leftChars="0" w:hanging="420" w:firstLineChars="0"/>
        <w:rPr>
          <w:rFonts w:hint="eastAsia"/>
          <w:i w:val="0"/>
          <w:iCs w:val="0"/>
          <w:color w:val="auto"/>
          <w:sz w:val="21"/>
          <w:szCs w:val="15"/>
          <w:highlight w:val="none"/>
        </w:rPr>
      </w:pPr>
      <w:r>
        <w:rPr>
          <w:rFonts w:hint="eastAsia"/>
          <w:i w:val="0"/>
          <w:iCs w:val="0"/>
          <w:color w:val="auto"/>
          <w:sz w:val="21"/>
          <w:szCs w:val="15"/>
          <w:highlight w:val="none"/>
        </w:rPr>
        <w:t>受训人员的要求；</w:t>
      </w:r>
    </w:p>
    <w:p w14:paraId="234F9EB3">
      <w:pPr>
        <w:pStyle w:val="142"/>
        <w:numPr>
          <w:ilvl w:val="0"/>
          <w:numId w:val="48"/>
        </w:numPr>
        <w:ind w:left="420" w:leftChars="0" w:hanging="420" w:firstLineChars="0"/>
        <w:rPr>
          <w:rFonts w:hint="eastAsia"/>
          <w:i w:val="0"/>
          <w:iCs w:val="0"/>
          <w:color w:val="auto"/>
          <w:sz w:val="21"/>
          <w:szCs w:val="15"/>
          <w:highlight w:val="none"/>
        </w:rPr>
      </w:pPr>
      <w:r>
        <w:rPr>
          <w:rFonts w:hint="eastAsia"/>
          <w:i w:val="0"/>
          <w:iCs w:val="0"/>
          <w:color w:val="auto"/>
          <w:sz w:val="21"/>
          <w:szCs w:val="15"/>
          <w:highlight w:val="none"/>
        </w:rPr>
        <w:t>培训地点；</w:t>
      </w:r>
    </w:p>
    <w:p w14:paraId="234F9EB4">
      <w:pPr>
        <w:pStyle w:val="142"/>
        <w:numPr>
          <w:ilvl w:val="0"/>
          <w:numId w:val="48"/>
        </w:numPr>
        <w:ind w:left="420" w:leftChars="0" w:hanging="420" w:firstLineChars="0"/>
        <w:rPr>
          <w:rFonts w:hint="eastAsia"/>
          <w:i w:val="0"/>
          <w:iCs w:val="0"/>
          <w:color w:val="auto"/>
          <w:sz w:val="21"/>
          <w:szCs w:val="15"/>
          <w:highlight w:val="none"/>
        </w:rPr>
      </w:pPr>
      <w:r>
        <w:rPr>
          <w:rFonts w:hint="eastAsia"/>
          <w:i w:val="0"/>
          <w:iCs w:val="0"/>
          <w:color w:val="auto"/>
          <w:sz w:val="21"/>
          <w:szCs w:val="15"/>
          <w:highlight w:val="none"/>
        </w:rPr>
        <w:t>授课人员的姓名及职称；</w:t>
      </w:r>
    </w:p>
    <w:p w14:paraId="234F9EB5">
      <w:pPr>
        <w:pStyle w:val="142"/>
        <w:numPr>
          <w:ilvl w:val="0"/>
          <w:numId w:val="48"/>
        </w:numPr>
        <w:ind w:left="420" w:leftChars="0" w:hanging="420" w:firstLineChars="0"/>
        <w:rPr>
          <w:rFonts w:hint="eastAsia"/>
          <w:i w:val="0"/>
          <w:iCs w:val="0"/>
          <w:color w:val="auto"/>
          <w:sz w:val="21"/>
          <w:szCs w:val="15"/>
          <w:highlight w:val="none"/>
        </w:rPr>
      </w:pPr>
      <w:r>
        <w:rPr>
          <w:rFonts w:hint="eastAsia"/>
          <w:i w:val="0"/>
          <w:iCs w:val="0"/>
          <w:color w:val="auto"/>
          <w:sz w:val="21"/>
          <w:szCs w:val="15"/>
          <w:highlight w:val="none"/>
        </w:rPr>
        <w:t>课程效果的评估方法。</w:t>
      </w:r>
    </w:p>
    <w:p w14:paraId="234F9EB6">
      <w:pPr>
        <w:pStyle w:val="4"/>
        <w:rPr>
          <w:i w:val="0"/>
          <w:iCs w:val="0"/>
          <w:color w:val="auto"/>
          <w:sz w:val="24"/>
          <w:szCs w:val="21"/>
          <w:highlight w:val="none"/>
        </w:rPr>
      </w:pPr>
      <w:bookmarkStart w:id="515" w:name="_Toc31915"/>
      <w:bookmarkStart w:id="516" w:name="_Toc93674863"/>
      <w:bookmarkStart w:id="517" w:name="_Toc216637975"/>
      <w:bookmarkStart w:id="518" w:name="_Toc85528826"/>
      <w:r>
        <w:rPr>
          <w:rFonts w:hint="eastAsia"/>
          <w:i w:val="0"/>
          <w:iCs w:val="0"/>
          <w:color w:val="auto"/>
          <w:sz w:val="24"/>
          <w:szCs w:val="21"/>
          <w:highlight w:val="none"/>
        </w:rPr>
        <w:t>培训材料</w:t>
      </w:r>
      <w:bookmarkEnd w:id="515"/>
      <w:bookmarkEnd w:id="516"/>
      <w:bookmarkEnd w:id="517"/>
      <w:bookmarkEnd w:id="518"/>
    </w:p>
    <w:p w14:paraId="234F9EB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投标人在培训实施前4周应向招标人提交培训材料，并由招标人确认。所有培训用材料应易复制，应以Microsoft Office2010、AutoCAD 2010（或以上版本）等形式，提交纸质文件人手1份，及电子文件10份（光盘）。</w:t>
      </w:r>
    </w:p>
    <w:p w14:paraId="234F9EB8">
      <w:pPr>
        <w:pStyle w:val="4"/>
        <w:rPr>
          <w:i w:val="0"/>
          <w:iCs w:val="0"/>
          <w:color w:val="auto"/>
          <w:sz w:val="24"/>
          <w:szCs w:val="21"/>
          <w:highlight w:val="none"/>
        </w:rPr>
      </w:pPr>
      <w:bookmarkStart w:id="519" w:name="_Toc29488"/>
      <w:bookmarkStart w:id="520" w:name="_Toc216637976"/>
      <w:bookmarkStart w:id="521" w:name="_Toc93674864"/>
      <w:bookmarkStart w:id="522" w:name="_Toc85528827"/>
      <w:r>
        <w:rPr>
          <w:rFonts w:hint="eastAsia"/>
          <w:i w:val="0"/>
          <w:iCs w:val="0"/>
          <w:color w:val="auto"/>
          <w:sz w:val="24"/>
          <w:szCs w:val="21"/>
          <w:highlight w:val="none"/>
        </w:rPr>
        <w:t>培训准备</w:t>
      </w:r>
      <w:bookmarkEnd w:id="519"/>
      <w:bookmarkEnd w:id="520"/>
      <w:bookmarkEnd w:id="521"/>
      <w:bookmarkEnd w:id="522"/>
    </w:p>
    <w:p w14:paraId="234F9EB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在招标人所在地进行的培训，投标人应至少提前30天通知招标人授课时所需的常用教学设施。任何特殊的工具和测试设备由投标人准备。</w:t>
      </w:r>
    </w:p>
    <w:p w14:paraId="234F9EB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投标人所在地进行的培训，所有教学设施由投标人负责准备。</w:t>
      </w:r>
    </w:p>
    <w:p w14:paraId="234F9EBB">
      <w:pPr>
        <w:pStyle w:val="4"/>
        <w:rPr>
          <w:i w:val="0"/>
          <w:iCs w:val="0"/>
          <w:color w:val="auto"/>
          <w:sz w:val="24"/>
          <w:szCs w:val="21"/>
          <w:highlight w:val="none"/>
        </w:rPr>
      </w:pPr>
      <w:bookmarkStart w:id="523" w:name="_Toc93674865"/>
      <w:bookmarkStart w:id="524" w:name="_Toc801"/>
      <w:bookmarkStart w:id="525" w:name="_Toc85528828"/>
      <w:bookmarkStart w:id="526" w:name="_Toc216637977"/>
      <w:r>
        <w:rPr>
          <w:rFonts w:hint="eastAsia"/>
          <w:i w:val="0"/>
          <w:iCs w:val="0"/>
          <w:color w:val="auto"/>
          <w:sz w:val="24"/>
          <w:szCs w:val="21"/>
          <w:highlight w:val="none"/>
        </w:rPr>
        <w:t>培训内容</w:t>
      </w:r>
      <w:bookmarkEnd w:id="523"/>
      <w:bookmarkEnd w:id="524"/>
      <w:bookmarkEnd w:id="525"/>
      <w:bookmarkEnd w:id="526"/>
    </w:p>
    <w:p w14:paraId="234F9EB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为达到培训目的，投标人的培训计划建议书应针对各子系统进行培训，其培训内容应包括但不仅限于本条款中所列的内容。</w:t>
      </w:r>
    </w:p>
    <w:p w14:paraId="234F9EB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安排在智慧地铁云平台扩容、防洪防汛应急处置、车站智能视频分析、FAS与门禁系统智能联动、列车司机行为实时监测、智慧人脸门禁、智能钥匙柜、智能运维、维修作业系统、智慧公寓管理系统应用软件进行的培训，所需费用由投标人承担。</w:t>
      </w:r>
    </w:p>
    <w:p w14:paraId="234F9EBE">
      <w:pPr>
        <w:pStyle w:val="6"/>
        <w:ind w:left="0"/>
        <w:rPr>
          <w:i w:val="0"/>
          <w:iCs w:val="0"/>
          <w:color w:val="auto"/>
          <w:sz w:val="22"/>
          <w:szCs w:val="22"/>
          <w:highlight w:val="none"/>
        </w:rPr>
      </w:pPr>
      <w:bookmarkStart w:id="527" w:name="_Toc32256"/>
      <w:bookmarkStart w:id="528" w:name="_Toc93674866"/>
      <w:r>
        <w:rPr>
          <w:rFonts w:hint="eastAsia"/>
          <w:i w:val="0"/>
          <w:iCs w:val="0"/>
          <w:color w:val="auto"/>
          <w:sz w:val="22"/>
          <w:szCs w:val="22"/>
          <w:highlight w:val="none"/>
        </w:rPr>
        <w:t>系统</w:t>
      </w:r>
      <w:bookmarkEnd w:id="527"/>
      <w:bookmarkEnd w:id="528"/>
    </w:p>
    <w:p w14:paraId="234F9EB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系统培训内容包括但不限于：</w:t>
      </w:r>
    </w:p>
    <w:p w14:paraId="234F9EC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根据培训手册建立对有关设备的总体概念；</w:t>
      </w:r>
    </w:p>
    <w:p w14:paraId="234F9EC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了解、掌握系统的基本概念、原理及功能；</w:t>
      </w:r>
    </w:p>
    <w:p w14:paraId="234F9EC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了解、掌握系统工作电源的配置；</w:t>
      </w:r>
    </w:p>
    <w:p w14:paraId="234F9EC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了解、掌握与其它相关系统的接口。</w:t>
      </w:r>
    </w:p>
    <w:p w14:paraId="234F9EC4">
      <w:pPr>
        <w:pStyle w:val="6"/>
        <w:ind w:left="0"/>
        <w:rPr>
          <w:i w:val="0"/>
          <w:iCs w:val="0"/>
          <w:color w:val="auto"/>
          <w:sz w:val="22"/>
          <w:szCs w:val="22"/>
          <w:highlight w:val="none"/>
        </w:rPr>
      </w:pPr>
      <w:bookmarkStart w:id="529" w:name="_Toc93674867"/>
      <w:bookmarkStart w:id="530" w:name="_Toc15808"/>
      <w:r>
        <w:rPr>
          <w:rFonts w:hint="eastAsia"/>
          <w:i w:val="0"/>
          <w:iCs w:val="0"/>
          <w:color w:val="auto"/>
          <w:sz w:val="22"/>
          <w:szCs w:val="22"/>
          <w:highlight w:val="none"/>
        </w:rPr>
        <w:t>硬件</w:t>
      </w:r>
      <w:bookmarkEnd w:id="529"/>
      <w:bookmarkEnd w:id="530"/>
    </w:p>
    <w:p w14:paraId="234F9EC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硬件培训内容包括但不限于：</w:t>
      </w:r>
    </w:p>
    <w:p w14:paraId="234F9EC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系统硬件框架、组成、名称；</w:t>
      </w:r>
    </w:p>
    <w:p w14:paraId="234F9EC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各硬件单元的面板显示说明及意义；</w:t>
      </w:r>
    </w:p>
    <w:p w14:paraId="234F9EC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各硬件单元的连接配线；</w:t>
      </w:r>
    </w:p>
    <w:p w14:paraId="234F9EC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系统及各硬件单元的供电；</w:t>
      </w:r>
    </w:p>
    <w:p w14:paraId="234F9EC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系统各硬件单元的功能原理图、输入输出信号及相关技术参数；</w:t>
      </w:r>
    </w:p>
    <w:p w14:paraId="234F9EC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与其它相关系统的物理和逻辑接口连接；</w:t>
      </w:r>
    </w:p>
    <w:p w14:paraId="234F9EC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硬件（通用设备）更新时，软件的设置和重装。</w:t>
      </w:r>
    </w:p>
    <w:p w14:paraId="234F9ECD">
      <w:pPr>
        <w:pStyle w:val="6"/>
        <w:ind w:left="0"/>
        <w:rPr>
          <w:i w:val="0"/>
          <w:iCs w:val="0"/>
          <w:color w:val="auto"/>
          <w:sz w:val="22"/>
          <w:szCs w:val="22"/>
          <w:highlight w:val="none"/>
        </w:rPr>
      </w:pPr>
      <w:bookmarkStart w:id="531" w:name="_Toc7196"/>
      <w:bookmarkStart w:id="532" w:name="_Toc93674868"/>
      <w:r>
        <w:rPr>
          <w:rFonts w:hint="eastAsia"/>
          <w:i w:val="0"/>
          <w:iCs w:val="0"/>
          <w:color w:val="auto"/>
          <w:sz w:val="22"/>
          <w:szCs w:val="22"/>
          <w:highlight w:val="none"/>
        </w:rPr>
        <w:t>软件</w:t>
      </w:r>
      <w:bookmarkEnd w:id="531"/>
      <w:bookmarkEnd w:id="532"/>
    </w:p>
    <w:p w14:paraId="234F9EC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软件培训内容包括但不限于：</w:t>
      </w:r>
    </w:p>
    <w:p w14:paraId="234F9EC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功能描述；</w:t>
      </w:r>
    </w:p>
    <w:p w14:paraId="234F9ED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软件各功能模块之间的联系；</w:t>
      </w:r>
    </w:p>
    <w:p w14:paraId="234F9ED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系统信息处理系统框图(包含与其它子系统的接口信息的采集、传递)；</w:t>
      </w:r>
    </w:p>
    <w:p w14:paraId="234F9ED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系统及各硬件单元的自检周期、自检时间及自检内容、自检过程；</w:t>
      </w:r>
    </w:p>
    <w:p w14:paraId="234F9ED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故障报警信息的详细说明，包括具体的含义，可能的故障源以及相应的修复措施；</w:t>
      </w:r>
    </w:p>
    <w:p w14:paraId="234F9ED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软件备份、升级；</w:t>
      </w:r>
    </w:p>
    <w:p w14:paraId="234F9ED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详细描述操作工作站内的软件模块及文件结构；</w:t>
      </w:r>
    </w:p>
    <w:p w14:paraId="234F9ED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按照功能，详细描述各硬件单元在该项功能实现中所起的作用。</w:t>
      </w:r>
    </w:p>
    <w:p w14:paraId="234F9ED7">
      <w:pPr>
        <w:pStyle w:val="6"/>
        <w:ind w:left="0"/>
        <w:rPr>
          <w:i w:val="0"/>
          <w:iCs w:val="0"/>
          <w:color w:val="auto"/>
          <w:sz w:val="22"/>
          <w:szCs w:val="22"/>
          <w:highlight w:val="none"/>
        </w:rPr>
      </w:pPr>
      <w:bookmarkStart w:id="533" w:name="_Toc93674869"/>
      <w:bookmarkStart w:id="534" w:name="_Toc23586"/>
      <w:r>
        <w:rPr>
          <w:rFonts w:hint="eastAsia"/>
          <w:i w:val="0"/>
          <w:iCs w:val="0"/>
          <w:color w:val="auto"/>
          <w:sz w:val="22"/>
          <w:szCs w:val="22"/>
          <w:highlight w:val="none"/>
        </w:rPr>
        <w:t>维护</w:t>
      </w:r>
      <w:bookmarkEnd w:id="533"/>
      <w:bookmarkEnd w:id="534"/>
    </w:p>
    <w:p w14:paraId="234F9ED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维护培训内容包括但不限于：</w:t>
      </w:r>
    </w:p>
    <w:p w14:paraId="234F9ED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各部件维护标准、技术参数；</w:t>
      </w:r>
    </w:p>
    <w:p w14:paraId="234F9ED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维护基本操作及相关注意事项；</w:t>
      </w:r>
    </w:p>
    <w:p w14:paraId="234F9ED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维护工具的使用；</w:t>
      </w:r>
    </w:p>
    <w:p w14:paraId="234F9ED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提供1套标准的系统维护工具；</w:t>
      </w:r>
    </w:p>
    <w:p w14:paraId="234F9ED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提供可供参考的维护模式及维护周期；</w:t>
      </w:r>
    </w:p>
    <w:p w14:paraId="234F9ED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各单元模块的更换。</w:t>
      </w:r>
    </w:p>
    <w:p w14:paraId="234F9EDF">
      <w:pPr>
        <w:pStyle w:val="6"/>
        <w:ind w:left="0"/>
        <w:rPr>
          <w:i w:val="0"/>
          <w:iCs w:val="0"/>
          <w:color w:val="auto"/>
          <w:sz w:val="22"/>
          <w:szCs w:val="22"/>
          <w:highlight w:val="none"/>
        </w:rPr>
      </w:pPr>
      <w:bookmarkStart w:id="535" w:name="_Toc12015"/>
      <w:bookmarkStart w:id="536" w:name="_Toc93674870"/>
      <w:r>
        <w:rPr>
          <w:rFonts w:hint="eastAsia"/>
          <w:i w:val="0"/>
          <w:iCs w:val="0"/>
          <w:color w:val="auto"/>
          <w:sz w:val="22"/>
          <w:szCs w:val="22"/>
          <w:highlight w:val="none"/>
        </w:rPr>
        <w:t>故障检测</w:t>
      </w:r>
      <w:bookmarkEnd w:id="535"/>
      <w:bookmarkEnd w:id="536"/>
    </w:p>
    <w:p w14:paraId="234F9EE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故障检测培训内容包括但不限于：</w:t>
      </w:r>
    </w:p>
    <w:p w14:paraId="234F9EE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各类故障识别、分析及排除；</w:t>
      </w:r>
    </w:p>
    <w:p w14:paraId="234F9EE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诊断PC的使用及维护。</w:t>
      </w:r>
    </w:p>
    <w:p w14:paraId="234F9EE3">
      <w:pPr>
        <w:pStyle w:val="6"/>
        <w:ind w:left="0"/>
        <w:rPr>
          <w:i w:val="0"/>
          <w:iCs w:val="0"/>
          <w:color w:val="auto"/>
          <w:sz w:val="22"/>
          <w:szCs w:val="22"/>
          <w:highlight w:val="none"/>
        </w:rPr>
      </w:pPr>
      <w:bookmarkStart w:id="537" w:name="_Toc93674871"/>
      <w:bookmarkStart w:id="538" w:name="_Toc20828"/>
      <w:r>
        <w:rPr>
          <w:rFonts w:hint="eastAsia"/>
          <w:i w:val="0"/>
          <w:iCs w:val="0"/>
          <w:color w:val="auto"/>
          <w:sz w:val="22"/>
          <w:szCs w:val="22"/>
          <w:highlight w:val="none"/>
        </w:rPr>
        <w:t>操作和显示工作站/设备</w:t>
      </w:r>
      <w:bookmarkEnd w:id="537"/>
      <w:bookmarkEnd w:id="538"/>
    </w:p>
    <w:p w14:paraId="234F9EE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操作和显示工作站/设备培训内容包括但不限于：</w:t>
      </w:r>
    </w:p>
    <w:p w14:paraId="234F9EE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操作使用及维护；</w:t>
      </w:r>
    </w:p>
    <w:p w14:paraId="234F9EE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显示内容及意义。</w:t>
      </w:r>
    </w:p>
    <w:p w14:paraId="234F9EE7">
      <w:pPr>
        <w:pStyle w:val="6"/>
        <w:ind w:left="0"/>
        <w:rPr>
          <w:i w:val="0"/>
          <w:iCs w:val="0"/>
          <w:color w:val="auto"/>
          <w:sz w:val="22"/>
          <w:szCs w:val="22"/>
          <w:highlight w:val="none"/>
        </w:rPr>
      </w:pPr>
      <w:bookmarkStart w:id="539" w:name="_Toc24388"/>
      <w:bookmarkStart w:id="540" w:name="_Toc93674872"/>
      <w:r>
        <w:rPr>
          <w:rFonts w:hint="eastAsia"/>
          <w:i w:val="0"/>
          <w:iCs w:val="0"/>
          <w:color w:val="auto"/>
          <w:sz w:val="22"/>
          <w:szCs w:val="22"/>
          <w:highlight w:val="none"/>
        </w:rPr>
        <w:t>运营管理</w:t>
      </w:r>
      <w:bookmarkEnd w:id="539"/>
      <w:bookmarkEnd w:id="540"/>
    </w:p>
    <w:p w14:paraId="234F9EE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从技术角度对各子系统进行阐述，包括但不限于：</w:t>
      </w:r>
    </w:p>
    <w:p w14:paraId="234F9EE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不同运行模式的操作及管理；</w:t>
      </w:r>
    </w:p>
    <w:p w14:paraId="234F9EE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故障情况下的运行模式的操作及管理；</w:t>
      </w:r>
    </w:p>
    <w:p w14:paraId="234F9EE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日常（一键开关站）模式下的运行操作及管理；</w:t>
      </w:r>
    </w:p>
    <w:p w14:paraId="234F9EE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系统模拟的操作及管理。</w:t>
      </w:r>
    </w:p>
    <w:p w14:paraId="234F9EED">
      <w:pPr>
        <w:pStyle w:val="4"/>
        <w:rPr>
          <w:i w:val="0"/>
          <w:iCs w:val="0"/>
          <w:color w:val="auto"/>
          <w:sz w:val="24"/>
          <w:szCs w:val="21"/>
          <w:highlight w:val="none"/>
        </w:rPr>
      </w:pPr>
      <w:bookmarkStart w:id="541" w:name="_Toc17648"/>
      <w:bookmarkStart w:id="542" w:name="_Toc93674873"/>
      <w:bookmarkStart w:id="543" w:name="_Toc85528829"/>
      <w:bookmarkStart w:id="544" w:name="_Toc216637978"/>
      <w:r>
        <w:rPr>
          <w:rFonts w:hint="eastAsia"/>
          <w:i w:val="0"/>
          <w:iCs w:val="0"/>
          <w:color w:val="auto"/>
          <w:sz w:val="24"/>
          <w:szCs w:val="21"/>
          <w:highlight w:val="none"/>
        </w:rPr>
        <w:t>培训考核</w:t>
      </w:r>
      <w:bookmarkEnd w:id="541"/>
      <w:bookmarkEnd w:id="542"/>
      <w:bookmarkEnd w:id="543"/>
      <w:bookmarkEnd w:id="544"/>
    </w:p>
    <w:p w14:paraId="234F9EE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为使培训人员达到培训计划要求，所有培训人员都应经常接受测验和考试，取得进展和足够的培训，并且在培训结束时通过考试确定他们可否称职地完成将被赋予的任务和工作，招标人将进行确认。</w:t>
      </w:r>
    </w:p>
    <w:p w14:paraId="234F9EE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投标人应准备并提交1份测验和考试计划，以及详细材料，包括范围、功能和方法，供招标人批准。</w:t>
      </w:r>
    </w:p>
    <w:p w14:paraId="234F9EF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投标人应负责测验和考试的所有安排和费用。</w:t>
      </w:r>
    </w:p>
    <w:p w14:paraId="234F9EF2">
      <w:pPr>
        <w:pStyle w:val="4"/>
        <w:rPr>
          <w:i w:val="0"/>
          <w:iCs w:val="0"/>
          <w:color w:val="auto"/>
          <w:sz w:val="24"/>
          <w:szCs w:val="21"/>
          <w:highlight w:val="none"/>
        </w:rPr>
      </w:pPr>
      <w:bookmarkStart w:id="545" w:name="_Toc85528830"/>
      <w:bookmarkStart w:id="546" w:name="_Toc93674874"/>
      <w:bookmarkStart w:id="547" w:name="_Toc22770"/>
      <w:bookmarkStart w:id="548" w:name="_Toc216637979"/>
      <w:r>
        <w:rPr>
          <w:rFonts w:hint="eastAsia"/>
          <w:i w:val="0"/>
          <w:iCs w:val="0"/>
          <w:color w:val="auto"/>
          <w:sz w:val="24"/>
          <w:szCs w:val="21"/>
          <w:highlight w:val="none"/>
        </w:rPr>
        <w:t>培训费用</w:t>
      </w:r>
      <w:bookmarkEnd w:id="545"/>
      <w:bookmarkEnd w:id="546"/>
      <w:bookmarkEnd w:id="547"/>
      <w:bookmarkEnd w:id="548"/>
    </w:p>
    <w:p w14:paraId="234F9EF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培训费用应包括但不限于以下几项：</w:t>
      </w:r>
    </w:p>
    <w:p w14:paraId="234F9EF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学员的差旅费用和当地交通费用；</w:t>
      </w:r>
    </w:p>
    <w:p w14:paraId="234F9EF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学员的食宿等费用；</w:t>
      </w:r>
    </w:p>
    <w:p w14:paraId="234F9EF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各类培训使用投标人工具、仪表和仿真器的费用，教员以及书本费用；</w:t>
      </w:r>
    </w:p>
    <w:p w14:paraId="234F9EF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投标人的服务费用。</w:t>
      </w:r>
    </w:p>
    <w:p w14:paraId="234F9EF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所有培训费用均由投标人承担。</w:t>
      </w:r>
    </w:p>
    <w:p w14:paraId="234F9EF9">
      <w:pPr>
        <w:pStyle w:val="4"/>
        <w:rPr>
          <w:i w:val="0"/>
          <w:iCs w:val="0"/>
          <w:color w:val="auto"/>
          <w:sz w:val="24"/>
          <w:szCs w:val="21"/>
          <w:highlight w:val="none"/>
        </w:rPr>
      </w:pPr>
      <w:bookmarkStart w:id="549" w:name="_Toc93674875"/>
      <w:bookmarkStart w:id="550" w:name="_Toc216637980"/>
      <w:bookmarkStart w:id="551" w:name="_Toc13385"/>
      <w:bookmarkStart w:id="552" w:name="_Toc85528831"/>
      <w:r>
        <w:rPr>
          <w:rFonts w:hint="eastAsia"/>
          <w:i w:val="0"/>
          <w:iCs w:val="0"/>
          <w:color w:val="auto"/>
          <w:sz w:val="24"/>
          <w:szCs w:val="21"/>
          <w:highlight w:val="none"/>
        </w:rPr>
        <w:t>现场培训</w:t>
      </w:r>
      <w:bookmarkEnd w:id="549"/>
      <w:bookmarkEnd w:id="550"/>
      <w:bookmarkEnd w:id="551"/>
      <w:bookmarkEnd w:id="552"/>
    </w:p>
    <w:p w14:paraId="234F9EF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投标人应为招标人人员进行现场培训，相关费用含在合同投标中。</w:t>
      </w:r>
    </w:p>
    <w:p w14:paraId="234F9EFB">
      <w:pPr>
        <w:pStyle w:val="4"/>
        <w:rPr>
          <w:i w:val="0"/>
          <w:iCs w:val="0"/>
          <w:color w:val="auto"/>
          <w:sz w:val="24"/>
          <w:szCs w:val="21"/>
          <w:highlight w:val="none"/>
        </w:rPr>
      </w:pPr>
      <w:bookmarkStart w:id="553" w:name="_Toc93674876"/>
      <w:bookmarkStart w:id="554" w:name="_Toc26849"/>
      <w:bookmarkStart w:id="555" w:name="_Toc216637981"/>
      <w:bookmarkStart w:id="556" w:name="_Toc85528832"/>
      <w:r>
        <w:rPr>
          <w:rFonts w:hint="eastAsia"/>
          <w:i w:val="0"/>
          <w:iCs w:val="0"/>
          <w:color w:val="auto"/>
          <w:sz w:val="24"/>
          <w:szCs w:val="21"/>
          <w:highlight w:val="none"/>
        </w:rPr>
        <w:t>投标要求</w:t>
      </w:r>
      <w:bookmarkEnd w:id="553"/>
      <w:bookmarkEnd w:id="554"/>
      <w:bookmarkEnd w:id="555"/>
      <w:bookmarkEnd w:id="556"/>
    </w:p>
    <w:p w14:paraId="234F9EF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投标人应根据招标文件给出的总体工期计划要求，在投标时详细提出培训的时间、地点、培训内容及方法的建议书，并将在合同谈判时最终确定。</w:t>
      </w:r>
    </w:p>
    <w:p w14:paraId="234F9EFD">
      <w:pPr>
        <w:pStyle w:val="142"/>
        <w:ind w:firstLine="420"/>
        <w:rPr>
          <w:i w:val="0"/>
          <w:iCs w:val="0"/>
          <w:color w:val="auto"/>
          <w:sz w:val="21"/>
          <w:szCs w:val="15"/>
          <w:highlight w:val="none"/>
        </w:rPr>
      </w:pPr>
    </w:p>
    <w:p w14:paraId="234F9EFE">
      <w:pPr>
        <w:pStyle w:val="3"/>
        <w:rPr>
          <w:i w:val="0"/>
          <w:iCs w:val="0"/>
          <w:color w:val="auto"/>
          <w:sz w:val="24"/>
          <w:szCs w:val="32"/>
          <w:highlight w:val="none"/>
        </w:rPr>
      </w:pPr>
      <w:bookmarkStart w:id="557" w:name="bookmark152"/>
      <w:bookmarkEnd w:id="557"/>
      <w:bookmarkStart w:id="558" w:name="bookmark148"/>
      <w:bookmarkEnd w:id="558"/>
      <w:bookmarkStart w:id="559" w:name="bookmark151"/>
      <w:bookmarkEnd w:id="559"/>
      <w:bookmarkStart w:id="560" w:name="bookmark153"/>
      <w:bookmarkEnd w:id="560"/>
      <w:bookmarkStart w:id="561" w:name="bookmark147"/>
      <w:bookmarkEnd w:id="561"/>
      <w:bookmarkStart w:id="562" w:name="bookmark146"/>
      <w:bookmarkEnd w:id="562"/>
      <w:bookmarkStart w:id="563" w:name="bookmark101"/>
      <w:bookmarkEnd w:id="563"/>
      <w:bookmarkStart w:id="564" w:name="_Toc196783803"/>
      <w:bookmarkEnd w:id="564"/>
      <w:bookmarkStart w:id="565" w:name="bookmark150"/>
      <w:bookmarkEnd w:id="565"/>
      <w:bookmarkStart w:id="566" w:name="bookmark154"/>
      <w:bookmarkEnd w:id="566"/>
      <w:bookmarkStart w:id="567" w:name="_Toc4400"/>
      <w:bookmarkStart w:id="568" w:name="_Toc216637982"/>
      <w:bookmarkStart w:id="569" w:name="_Toc201305058"/>
      <w:r>
        <w:rPr>
          <w:rFonts w:hint="eastAsia"/>
          <w:i w:val="0"/>
          <w:iCs w:val="0"/>
          <w:color w:val="auto"/>
          <w:sz w:val="24"/>
          <w:szCs w:val="32"/>
          <w:highlight w:val="none"/>
        </w:rPr>
        <w:t>系统质保期</w:t>
      </w:r>
      <w:bookmarkEnd w:id="567"/>
      <w:bookmarkEnd w:id="568"/>
      <w:bookmarkEnd w:id="569"/>
      <w:r>
        <w:rPr>
          <w:rFonts w:hint="eastAsia" w:ascii="Times New Roman" w:hAnsi="Times New Roman" w:cs="Times New Roman"/>
          <w:i w:val="0"/>
          <w:iCs w:val="0"/>
          <w:color w:val="auto"/>
          <w:sz w:val="24"/>
          <w:szCs w:val="32"/>
          <w:highlight w:val="none"/>
        </w:rPr>
        <w:t>★</w:t>
      </w:r>
    </w:p>
    <w:p w14:paraId="234F9EFF">
      <w:pPr>
        <w:pStyle w:val="4"/>
        <w:rPr>
          <w:i w:val="0"/>
          <w:iCs w:val="0"/>
          <w:color w:val="auto"/>
          <w:sz w:val="24"/>
          <w:szCs w:val="21"/>
          <w:highlight w:val="none"/>
        </w:rPr>
      </w:pPr>
      <w:bookmarkStart w:id="570" w:name="_Toc108242880"/>
      <w:bookmarkStart w:id="571" w:name="_Toc173314743"/>
      <w:bookmarkStart w:id="572" w:name="_Toc225656751"/>
      <w:bookmarkStart w:id="573" w:name="_Toc117846410"/>
      <w:bookmarkStart w:id="574" w:name="_Toc201305059"/>
      <w:bookmarkStart w:id="575" w:name="_Toc14384"/>
      <w:r>
        <w:rPr>
          <w:rFonts w:hint="eastAsia"/>
          <w:i w:val="0"/>
          <w:iCs w:val="0"/>
          <w:color w:val="auto"/>
          <w:sz w:val="24"/>
          <w:szCs w:val="21"/>
          <w:highlight w:val="none"/>
        </w:rPr>
        <w:t>系统质保期</w:t>
      </w:r>
      <w:bookmarkEnd w:id="570"/>
      <w:bookmarkEnd w:id="571"/>
      <w:bookmarkEnd w:id="572"/>
      <w:bookmarkEnd w:id="573"/>
      <w:bookmarkEnd w:id="574"/>
      <w:bookmarkEnd w:id="575"/>
    </w:p>
    <w:p w14:paraId="234F9F00">
      <w:pPr>
        <w:pStyle w:val="142"/>
        <w:ind w:firstLine="420"/>
        <w:rPr>
          <w:i w:val="0"/>
          <w:iCs w:val="0"/>
          <w:color w:val="auto"/>
          <w:sz w:val="21"/>
          <w:szCs w:val="15"/>
          <w:highlight w:val="none"/>
        </w:rPr>
      </w:pPr>
      <w:bookmarkStart w:id="576" w:name="_Toc225656752"/>
      <w:r>
        <w:rPr>
          <w:rFonts w:hint="eastAsia"/>
          <w:i w:val="0"/>
          <w:iCs w:val="0"/>
          <w:color w:val="auto"/>
          <w:sz w:val="21"/>
          <w:szCs w:val="15"/>
          <w:highlight w:val="none"/>
        </w:rPr>
        <w:t>本工程系统设备的质保期为2年，时间从投标人取得招标人开具的初步验收证书之日开始计算。</w:t>
      </w:r>
    </w:p>
    <w:p w14:paraId="234F9F0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在质保期内，投标人继续对所有安装和提供的系统和设备负责。</w:t>
      </w:r>
    </w:p>
    <w:p w14:paraId="234F9F0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质保期内，针对投标人供货范围内的所有设备及其附属部件，若出现非人为因素或其他不可抗力导致的损坏，投标人须提供免费修理或更换服务；且修理或更换后，相关设备及部件的质保责任将延续至剩余质保期。质保期内附属部件的任何修理或更换，在该附属部件发运后120天或招标人收到后90天，无论时间先后，投标人均给予担保。</w:t>
      </w:r>
    </w:p>
    <w:p w14:paraId="234F9F0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系统质保期内投标人应免费协助招标人对系统进行管理、维护。</w:t>
      </w:r>
    </w:p>
    <w:p w14:paraId="78259A63">
      <w:pPr>
        <w:pStyle w:val="142"/>
        <w:ind w:firstLine="420"/>
        <w:rPr>
          <w:rFonts w:hint="default"/>
          <w:i w:val="0"/>
          <w:iCs w:val="0"/>
          <w:color w:val="auto"/>
          <w:sz w:val="21"/>
          <w:szCs w:val="15"/>
          <w:highlight w:val="none"/>
          <w:lang w:val="en-US" w:eastAsia="zh-CN"/>
        </w:rPr>
      </w:pPr>
      <w:r>
        <w:rPr>
          <w:rFonts w:hint="eastAsia"/>
          <w:i w:val="0"/>
          <w:iCs w:val="0"/>
          <w:color w:val="auto"/>
          <w:sz w:val="21"/>
          <w:szCs w:val="15"/>
          <w:highlight w:val="none"/>
          <w:lang w:val="en-US" w:eastAsia="zh-CN"/>
        </w:rPr>
        <w:t>系统软件质保期为2年（专用技术册中另有规定的除外），时间从投标人取得招标人开具的初步验收证书之日开始计算；投标人负责质保期内系统、应用、杀毒等的更新、维护；软件授权应为永久授权，质保期结束后，不得因授权问题影响系统正常运行。</w:t>
      </w:r>
    </w:p>
    <w:p w14:paraId="234F9F0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系统设备开始供货到质保期结束前，若发现系统设备有质量问题或存在潜在质量问题，投标人应免费给予更换，并不能因此而影响工程进度；若发现系统存在功能缺陷，达不到要求的实际功能时，投标人应负责给予解决，所需费用由投标人负责。</w:t>
      </w:r>
    </w:p>
    <w:p w14:paraId="234F9F05">
      <w:pPr>
        <w:pStyle w:val="4"/>
        <w:rPr>
          <w:i w:val="0"/>
          <w:iCs w:val="0"/>
          <w:color w:val="auto"/>
          <w:sz w:val="24"/>
          <w:szCs w:val="21"/>
          <w:highlight w:val="none"/>
        </w:rPr>
      </w:pPr>
      <w:bookmarkStart w:id="577" w:name="_Toc19676"/>
      <w:bookmarkStart w:id="578" w:name="_Toc201305060"/>
      <w:r>
        <w:rPr>
          <w:rFonts w:hint="eastAsia"/>
          <w:i w:val="0"/>
          <w:iCs w:val="0"/>
          <w:color w:val="auto"/>
          <w:sz w:val="24"/>
          <w:szCs w:val="21"/>
          <w:highlight w:val="none"/>
        </w:rPr>
        <w:t>质保期内服务要求</w:t>
      </w:r>
      <w:bookmarkEnd w:id="576"/>
      <w:bookmarkEnd w:id="577"/>
      <w:bookmarkEnd w:id="578"/>
    </w:p>
    <w:p w14:paraId="234F9F0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投标人的质保期内服务体系应完全按照ISO9001质量管理体系进行管理。</w:t>
      </w:r>
    </w:p>
    <w:p w14:paraId="234F9F0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须在长沙设立经工商管理部门注册的专门服务部门，保证及时准确地完成质保期内的服务。售后服务部门必须设置本项目的售后服务专职管理人员1名、专职专业技术工程师至少2名、每个专业专职技术维修人员至少2名，并设置专用的24小时售后服务电话。</w:t>
      </w:r>
    </w:p>
    <w:p w14:paraId="234F9F0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投标人应保证在接到招标人或运营单位需要售后服务的通知后2小时内到达现场提供服务。</w:t>
      </w:r>
    </w:p>
    <w:p w14:paraId="234F9F09">
      <w:pPr>
        <w:pStyle w:val="4"/>
        <w:rPr>
          <w:i w:val="0"/>
          <w:iCs w:val="0"/>
          <w:color w:val="auto"/>
          <w:sz w:val="24"/>
          <w:szCs w:val="21"/>
          <w:highlight w:val="none"/>
        </w:rPr>
      </w:pPr>
      <w:bookmarkStart w:id="579" w:name="_Toc178600793"/>
      <w:bookmarkEnd w:id="579"/>
      <w:bookmarkStart w:id="580" w:name="_Toc179431185"/>
      <w:bookmarkEnd w:id="580"/>
      <w:bookmarkStart w:id="581" w:name="_Toc225656753"/>
      <w:bookmarkStart w:id="582" w:name="_Toc108242881"/>
      <w:bookmarkStart w:id="583" w:name="_Toc173314744"/>
      <w:bookmarkStart w:id="584" w:name="_Toc117846411"/>
      <w:bookmarkStart w:id="585" w:name="_Toc201305061"/>
      <w:bookmarkStart w:id="586" w:name="_Toc30080"/>
      <w:r>
        <w:rPr>
          <w:rFonts w:hint="eastAsia"/>
          <w:i w:val="0"/>
          <w:iCs w:val="0"/>
          <w:color w:val="auto"/>
          <w:sz w:val="24"/>
          <w:szCs w:val="21"/>
          <w:highlight w:val="none"/>
        </w:rPr>
        <w:t>投标要求</w:t>
      </w:r>
      <w:bookmarkEnd w:id="581"/>
      <w:bookmarkEnd w:id="582"/>
      <w:bookmarkEnd w:id="583"/>
      <w:bookmarkEnd w:id="584"/>
      <w:bookmarkEnd w:id="585"/>
      <w:bookmarkEnd w:id="586"/>
    </w:p>
    <w:p w14:paraId="234F9F0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投标人应在投标书中提出质保期内有关服务的实施计划和方案，特别应包括在国家法定节日、市级（含）以上重大活动期间现场保障服务的方案和承诺。</w:t>
      </w:r>
    </w:p>
    <w:p w14:paraId="234F9F0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投标人所提供的系统主要软件及硬件设备在质保期结束前，必须提供原制造商全免费保修服务及现场技术支持。投标人投标应提供与厂家签订的合同或厂家的服务承诺等相关文件。</w:t>
      </w:r>
    </w:p>
    <w:p w14:paraId="234F9F0C">
      <w:pPr>
        <w:pStyle w:val="3"/>
        <w:rPr>
          <w:i w:val="0"/>
          <w:iCs w:val="0"/>
          <w:color w:val="auto"/>
          <w:sz w:val="24"/>
          <w:szCs w:val="32"/>
          <w:highlight w:val="none"/>
        </w:rPr>
      </w:pPr>
      <w:bookmarkStart w:id="587" w:name="_Toc31883"/>
      <w:r>
        <w:rPr>
          <w:rFonts w:hint="eastAsia"/>
          <w:i w:val="0"/>
          <w:iCs w:val="0"/>
          <w:color w:val="auto"/>
          <w:sz w:val="24"/>
          <w:szCs w:val="32"/>
          <w:highlight w:val="none"/>
        </w:rPr>
        <w:t>系统质量保证</w:t>
      </w:r>
      <w:bookmarkEnd w:id="587"/>
      <w:r>
        <w:rPr>
          <w:rFonts w:hint="eastAsia" w:ascii="Times New Roman" w:hAnsi="Times New Roman" w:cs="Times New Roman"/>
          <w:i w:val="0"/>
          <w:iCs w:val="0"/>
          <w:color w:val="auto"/>
          <w:sz w:val="24"/>
          <w:szCs w:val="32"/>
          <w:highlight w:val="none"/>
        </w:rPr>
        <w:t>★</w:t>
      </w:r>
    </w:p>
    <w:p w14:paraId="234F9F0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投标人应根据本节各项要求详细提出系统的质量保证、可靠性、可维修性的说明。</w:t>
      </w:r>
    </w:p>
    <w:p w14:paraId="234F9F0E">
      <w:pPr>
        <w:pStyle w:val="4"/>
        <w:rPr>
          <w:i w:val="0"/>
          <w:iCs w:val="0"/>
          <w:color w:val="auto"/>
          <w:sz w:val="24"/>
          <w:szCs w:val="21"/>
          <w:highlight w:val="none"/>
        </w:rPr>
      </w:pPr>
      <w:bookmarkStart w:id="588" w:name="_Toc225656755"/>
      <w:bookmarkStart w:id="589" w:name="_Toc93674882"/>
      <w:bookmarkStart w:id="590" w:name="_Toc108242887"/>
      <w:bookmarkStart w:id="591" w:name="_Toc117846417"/>
      <w:bookmarkStart w:id="592" w:name="_Toc85528838"/>
      <w:bookmarkStart w:id="593" w:name="_Toc173314750"/>
      <w:bookmarkStart w:id="594" w:name="_Toc1462"/>
      <w:r>
        <w:rPr>
          <w:rFonts w:hint="eastAsia"/>
          <w:i w:val="0"/>
          <w:iCs w:val="0"/>
          <w:color w:val="auto"/>
          <w:sz w:val="24"/>
          <w:szCs w:val="21"/>
          <w:highlight w:val="none"/>
        </w:rPr>
        <w:t>系统质量保证措施</w:t>
      </w:r>
      <w:bookmarkEnd w:id="588"/>
      <w:bookmarkEnd w:id="589"/>
      <w:bookmarkEnd w:id="590"/>
      <w:bookmarkEnd w:id="591"/>
      <w:bookmarkEnd w:id="592"/>
      <w:bookmarkEnd w:id="593"/>
      <w:bookmarkEnd w:id="594"/>
    </w:p>
    <w:p w14:paraId="234F9F0F">
      <w:pPr>
        <w:pStyle w:val="6"/>
        <w:ind w:left="0"/>
        <w:rPr>
          <w:i w:val="0"/>
          <w:iCs w:val="0"/>
          <w:color w:val="auto"/>
          <w:sz w:val="22"/>
          <w:szCs w:val="22"/>
          <w:highlight w:val="none"/>
        </w:rPr>
      </w:pPr>
      <w:bookmarkStart w:id="595" w:name="_Toc93674883"/>
      <w:bookmarkStart w:id="596" w:name="_Toc27584"/>
      <w:r>
        <w:rPr>
          <w:rFonts w:hint="eastAsia"/>
          <w:i w:val="0"/>
          <w:iCs w:val="0"/>
          <w:color w:val="auto"/>
          <w:sz w:val="22"/>
          <w:szCs w:val="22"/>
          <w:highlight w:val="none"/>
        </w:rPr>
        <w:t>质量体系</w:t>
      </w:r>
      <w:bookmarkEnd w:id="595"/>
      <w:bookmarkEnd w:id="596"/>
    </w:p>
    <w:p w14:paraId="234F9F1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投标人应建立和贯彻已明文规定了的质量体系，作为保证系统符合技术要求的一种手段。</w:t>
      </w:r>
    </w:p>
    <w:p w14:paraId="234F9F1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在招标人要求时，投标人应向招标人提供现行、有效、成文的质量体系文件。</w:t>
      </w:r>
    </w:p>
    <w:p w14:paraId="234F9F1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质量体系文件应包括：</w:t>
      </w:r>
    </w:p>
    <w:p w14:paraId="234F9F1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系统设计、设计审查、设计变更、文件管理、设备采购、测试检验、验收等各阶段。</w:t>
      </w:r>
    </w:p>
    <w:p w14:paraId="234F9F14">
      <w:pPr>
        <w:pStyle w:val="6"/>
        <w:ind w:left="0"/>
        <w:rPr>
          <w:i w:val="0"/>
          <w:iCs w:val="0"/>
          <w:color w:val="auto"/>
          <w:sz w:val="22"/>
          <w:szCs w:val="22"/>
          <w:highlight w:val="none"/>
        </w:rPr>
      </w:pPr>
      <w:bookmarkStart w:id="597" w:name="_Toc93674884"/>
      <w:bookmarkStart w:id="598" w:name="_Toc24499"/>
      <w:r>
        <w:rPr>
          <w:rFonts w:hint="eastAsia"/>
          <w:i w:val="0"/>
          <w:iCs w:val="0"/>
          <w:color w:val="auto"/>
          <w:sz w:val="22"/>
          <w:szCs w:val="22"/>
          <w:highlight w:val="none"/>
        </w:rPr>
        <w:t>质量程序文件</w:t>
      </w:r>
      <w:bookmarkEnd w:id="597"/>
      <w:bookmarkEnd w:id="598"/>
    </w:p>
    <w:p w14:paraId="234F9F1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投标人应对系统质量的政策、目的和保证应有明确定义并制订文件。并应保证该政策在各级组织范围内已经理解、贯彻和执行。</w:t>
      </w:r>
    </w:p>
    <w:p w14:paraId="234F9F16">
      <w:pPr>
        <w:pStyle w:val="4"/>
        <w:rPr>
          <w:i w:val="0"/>
          <w:iCs w:val="0"/>
          <w:color w:val="auto"/>
          <w:sz w:val="24"/>
          <w:szCs w:val="21"/>
          <w:highlight w:val="none"/>
        </w:rPr>
      </w:pPr>
      <w:bookmarkStart w:id="599" w:name="_Toc117846418"/>
      <w:bookmarkStart w:id="600" w:name="_Toc93674885"/>
      <w:bookmarkStart w:id="601" w:name="_Toc173314751"/>
      <w:bookmarkStart w:id="602" w:name="_Toc20892"/>
      <w:bookmarkStart w:id="603" w:name="_Toc108242888"/>
      <w:bookmarkStart w:id="604" w:name="_Toc85528839"/>
      <w:bookmarkStart w:id="605" w:name="_Toc225656756"/>
      <w:r>
        <w:rPr>
          <w:rFonts w:hint="eastAsia"/>
          <w:i w:val="0"/>
          <w:iCs w:val="0"/>
          <w:color w:val="auto"/>
          <w:sz w:val="24"/>
          <w:szCs w:val="21"/>
          <w:highlight w:val="none"/>
        </w:rPr>
        <w:t>系统的可靠性要求</w:t>
      </w:r>
      <w:bookmarkEnd w:id="599"/>
      <w:bookmarkEnd w:id="600"/>
      <w:bookmarkEnd w:id="601"/>
      <w:bookmarkEnd w:id="602"/>
      <w:bookmarkEnd w:id="603"/>
      <w:bookmarkEnd w:id="604"/>
      <w:bookmarkEnd w:id="605"/>
    </w:p>
    <w:p w14:paraId="234F9F17">
      <w:pPr>
        <w:pStyle w:val="6"/>
        <w:ind w:left="0"/>
        <w:rPr>
          <w:i w:val="0"/>
          <w:iCs w:val="0"/>
          <w:color w:val="auto"/>
          <w:sz w:val="22"/>
          <w:szCs w:val="22"/>
          <w:highlight w:val="none"/>
        </w:rPr>
      </w:pPr>
      <w:bookmarkStart w:id="606" w:name="_Toc4810"/>
      <w:bookmarkStart w:id="607" w:name="_Toc93674886"/>
      <w:r>
        <w:rPr>
          <w:rFonts w:hint="eastAsia"/>
          <w:i w:val="0"/>
          <w:iCs w:val="0"/>
          <w:color w:val="auto"/>
          <w:sz w:val="22"/>
          <w:szCs w:val="22"/>
          <w:highlight w:val="none"/>
        </w:rPr>
        <w:t>系统的可靠性</w:t>
      </w:r>
      <w:bookmarkEnd w:id="606"/>
      <w:bookmarkEnd w:id="607"/>
    </w:p>
    <w:p w14:paraId="234F9F1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可靠性是系统在规定条件下完成规定功能的能力，按照系统产品标准提出的规定条件，准确地进行操作就是保证可靠性的前提条件。为了保证可靠性，系统必须提供准确、详细的技术资料，特别是与外界接口的条件和规定必须明确，对电源、接地、环境的要求也必须明确。此外，还要对操作人员提供彻底的培训，使用户真正了解系统的各项具体要求。可靠性主要有几项有关的原则：</w:t>
      </w:r>
    </w:p>
    <w:p w14:paraId="234F9F19">
      <w:pPr>
        <w:pStyle w:val="6"/>
        <w:ind w:left="0"/>
        <w:rPr>
          <w:i w:val="0"/>
          <w:iCs w:val="0"/>
          <w:color w:val="auto"/>
          <w:sz w:val="22"/>
          <w:szCs w:val="22"/>
          <w:highlight w:val="none"/>
        </w:rPr>
      </w:pPr>
      <w:bookmarkStart w:id="608" w:name="_Toc93674887"/>
      <w:bookmarkStart w:id="609" w:name="_Toc18932"/>
      <w:r>
        <w:rPr>
          <w:rFonts w:hint="eastAsia"/>
          <w:i w:val="0"/>
          <w:iCs w:val="0"/>
          <w:color w:val="auto"/>
          <w:sz w:val="22"/>
          <w:szCs w:val="22"/>
          <w:highlight w:val="none"/>
        </w:rPr>
        <w:t>系统不易发生故障原则</w:t>
      </w:r>
      <w:bookmarkEnd w:id="608"/>
      <w:bookmarkEnd w:id="609"/>
    </w:p>
    <w:p w14:paraId="234F9F1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系统需采用可靠性高的设备，必须有严格的可靠性设计和可靠生产保证措施，对用户的操作环境要求较宽。系统的结构合理，单元结构合理，元器件均有较大的余度，生产措施现代化且质量控制非常严格。</w:t>
      </w:r>
    </w:p>
    <w:p w14:paraId="234F9F1B">
      <w:pPr>
        <w:pStyle w:val="6"/>
        <w:ind w:left="0"/>
        <w:rPr>
          <w:i w:val="0"/>
          <w:iCs w:val="0"/>
          <w:color w:val="auto"/>
          <w:sz w:val="22"/>
          <w:szCs w:val="22"/>
          <w:highlight w:val="none"/>
        </w:rPr>
      </w:pPr>
      <w:bookmarkStart w:id="610" w:name="_Toc13830"/>
      <w:bookmarkStart w:id="611" w:name="_Toc93674888"/>
      <w:r>
        <w:rPr>
          <w:rFonts w:hint="eastAsia"/>
          <w:i w:val="0"/>
          <w:iCs w:val="0"/>
          <w:color w:val="auto"/>
          <w:sz w:val="22"/>
          <w:szCs w:val="22"/>
          <w:highlight w:val="none"/>
        </w:rPr>
        <w:t>系统运行受故障影响最小原则</w:t>
      </w:r>
      <w:bookmarkEnd w:id="610"/>
      <w:bookmarkEnd w:id="611"/>
    </w:p>
    <w:p w14:paraId="234F9F1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设备会因意外或长时间使用而出现故障或失效，即使部分出现了故障，系统的控制运行也不应受到影响，或受到的影响尽可能小。所采用的产品在系统设计中必须结构合理，即故障隔离技术较好，部分故障不易扩散。此外，主要设备应有充分的冗余备份措施，即故障时系统能自动切换到备份的部件上。</w:t>
      </w:r>
    </w:p>
    <w:p w14:paraId="234F9F1D">
      <w:pPr>
        <w:pStyle w:val="6"/>
        <w:ind w:left="0"/>
        <w:rPr>
          <w:i w:val="0"/>
          <w:iCs w:val="0"/>
          <w:color w:val="auto"/>
          <w:sz w:val="22"/>
          <w:szCs w:val="22"/>
          <w:highlight w:val="none"/>
        </w:rPr>
      </w:pPr>
      <w:bookmarkStart w:id="612" w:name="_Toc30732"/>
      <w:bookmarkStart w:id="613" w:name="_Toc93674889"/>
      <w:r>
        <w:rPr>
          <w:rFonts w:hint="eastAsia"/>
          <w:i w:val="0"/>
          <w:iCs w:val="0"/>
          <w:color w:val="auto"/>
          <w:sz w:val="22"/>
          <w:szCs w:val="22"/>
          <w:highlight w:val="none"/>
        </w:rPr>
        <w:t>迅速排除故障原则</w:t>
      </w:r>
      <w:bookmarkEnd w:id="612"/>
      <w:bookmarkEnd w:id="613"/>
    </w:p>
    <w:p w14:paraId="234F9F1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迅速排除故障原则要求系统的故障应在尽可能短的时间内得到排除。系统要有较强的故障自诊断功能，有准确的故障指示功能，有方便的组件更换功能，最好系统允许板级带电（在线）拔插更换。</w:t>
      </w:r>
    </w:p>
    <w:p w14:paraId="234F9F1F">
      <w:pPr>
        <w:pStyle w:val="4"/>
        <w:rPr>
          <w:i w:val="0"/>
          <w:iCs w:val="0"/>
          <w:color w:val="auto"/>
          <w:sz w:val="24"/>
          <w:szCs w:val="21"/>
          <w:highlight w:val="none"/>
        </w:rPr>
      </w:pPr>
      <w:bookmarkStart w:id="614" w:name="_Toc108242889"/>
      <w:bookmarkStart w:id="615" w:name="_Toc117846419"/>
      <w:bookmarkStart w:id="616" w:name="_Toc173314752"/>
      <w:bookmarkStart w:id="617" w:name="_Toc11899"/>
      <w:bookmarkStart w:id="618" w:name="_Toc225656757"/>
      <w:bookmarkStart w:id="619" w:name="_Toc93674890"/>
      <w:bookmarkStart w:id="620" w:name="_Toc85528840"/>
      <w:r>
        <w:rPr>
          <w:rFonts w:hint="eastAsia"/>
          <w:i w:val="0"/>
          <w:iCs w:val="0"/>
          <w:color w:val="auto"/>
          <w:sz w:val="24"/>
          <w:szCs w:val="21"/>
          <w:highlight w:val="none"/>
        </w:rPr>
        <w:t>系统的可维修性</w:t>
      </w:r>
      <w:bookmarkEnd w:id="614"/>
      <w:bookmarkEnd w:id="615"/>
      <w:bookmarkEnd w:id="616"/>
      <w:r>
        <w:rPr>
          <w:rFonts w:hint="eastAsia"/>
          <w:i w:val="0"/>
          <w:iCs w:val="0"/>
          <w:color w:val="auto"/>
          <w:sz w:val="24"/>
          <w:szCs w:val="21"/>
          <w:highlight w:val="none"/>
        </w:rPr>
        <w:t>要求</w:t>
      </w:r>
      <w:bookmarkEnd w:id="617"/>
      <w:bookmarkEnd w:id="618"/>
      <w:bookmarkEnd w:id="619"/>
      <w:bookmarkEnd w:id="620"/>
    </w:p>
    <w:p w14:paraId="234F9F2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系统的可维修性是指可修复系统排除故障的难易程度。</w:t>
      </w:r>
    </w:p>
    <w:p w14:paraId="234F9F2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为了配合高可靠性的系统要求，以下几个方面应纳入设备选型原则：</w:t>
      </w:r>
    </w:p>
    <w:p w14:paraId="234F9F22">
      <w:pPr>
        <w:pStyle w:val="6"/>
        <w:ind w:left="0"/>
        <w:rPr>
          <w:i w:val="0"/>
          <w:iCs w:val="0"/>
          <w:color w:val="auto"/>
          <w:sz w:val="22"/>
          <w:szCs w:val="22"/>
          <w:highlight w:val="none"/>
        </w:rPr>
      </w:pPr>
      <w:bookmarkStart w:id="621" w:name="_Toc10263"/>
      <w:bookmarkStart w:id="622" w:name="_Toc93674891"/>
      <w:r>
        <w:rPr>
          <w:rFonts w:hint="eastAsia"/>
          <w:i w:val="0"/>
          <w:iCs w:val="0"/>
          <w:color w:val="auto"/>
          <w:sz w:val="22"/>
          <w:szCs w:val="22"/>
          <w:highlight w:val="none"/>
        </w:rPr>
        <w:t>系统的固有维修性</w:t>
      </w:r>
      <w:bookmarkEnd w:id="621"/>
      <w:bookmarkEnd w:id="622"/>
    </w:p>
    <w:p w14:paraId="234F9F2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系统的固有维修性是指系统在硬件和软件本身方面排除故障的难易程度，系统应有全面的自诊断功能，准确的故障指示功能及容易更换的模板。</w:t>
      </w:r>
    </w:p>
    <w:p w14:paraId="234F9F24">
      <w:pPr>
        <w:pStyle w:val="6"/>
        <w:ind w:left="0"/>
        <w:rPr>
          <w:i w:val="0"/>
          <w:iCs w:val="0"/>
          <w:color w:val="auto"/>
          <w:sz w:val="22"/>
          <w:szCs w:val="22"/>
          <w:highlight w:val="none"/>
        </w:rPr>
      </w:pPr>
      <w:bookmarkStart w:id="623" w:name="_Toc93674894"/>
      <w:bookmarkStart w:id="624" w:name="_Toc27956"/>
      <w:bookmarkStart w:id="625" w:name="_Toc93674892"/>
      <w:r>
        <w:rPr>
          <w:rFonts w:hint="eastAsia"/>
          <w:i w:val="0"/>
          <w:iCs w:val="0"/>
          <w:color w:val="auto"/>
          <w:sz w:val="22"/>
          <w:szCs w:val="22"/>
          <w:highlight w:val="none"/>
        </w:rPr>
        <w:t>系统设备是否将要停产</w:t>
      </w:r>
      <w:bookmarkEnd w:id="623"/>
      <w:bookmarkEnd w:id="624"/>
    </w:p>
    <w:p w14:paraId="234F9F2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应避免提供将会在短期内（五年内）可能停产的设备。</w:t>
      </w:r>
      <w:bookmarkStart w:id="626" w:name="_Toc171489249"/>
      <w:bookmarkStart w:id="627" w:name="_Toc171488992"/>
    </w:p>
    <w:bookmarkEnd w:id="626"/>
    <w:bookmarkEnd w:id="627"/>
    <w:p w14:paraId="234F9F26">
      <w:pPr>
        <w:pStyle w:val="6"/>
        <w:ind w:left="0"/>
        <w:rPr>
          <w:i w:val="0"/>
          <w:iCs w:val="0"/>
          <w:color w:val="auto"/>
          <w:sz w:val="22"/>
          <w:szCs w:val="22"/>
          <w:highlight w:val="none"/>
        </w:rPr>
      </w:pPr>
      <w:bookmarkStart w:id="628" w:name="_Toc11771"/>
      <w:r>
        <w:rPr>
          <w:rFonts w:hint="eastAsia"/>
          <w:i w:val="0"/>
          <w:iCs w:val="0"/>
          <w:color w:val="auto"/>
          <w:sz w:val="22"/>
          <w:szCs w:val="22"/>
          <w:highlight w:val="none"/>
        </w:rPr>
        <w:t>维修的经济性</w:t>
      </w:r>
      <w:bookmarkEnd w:id="625"/>
      <w:bookmarkEnd w:id="628"/>
    </w:p>
    <w:p w14:paraId="234F9F2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质保期内因人为因素或不可抗力造成的设备损坏，需购买备品、备件时，其价格不应高于本项目所签订的设备采购合同清单中提供的设备价格。此外，设备修复的价格必须区分更换整机还是更换元器件，且购买元器件价格应低于整机价格。</w:t>
      </w:r>
    </w:p>
    <w:p w14:paraId="234F9F28">
      <w:pPr>
        <w:pStyle w:val="6"/>
        <w:ind w:left="0"/>
        <w:rPr>
          <w:i w:val="0"/>
          <w:iCs w:val="0"/>
          <w:color w:val="auto"/>
          <w:sz w:val="22"/>
          <w:szCs w:val="22"/>
          <w:highlight w:val="none"/>
        </w:rPr>
      </w:pPr>
      <w:bookmarkStart w:id="629" w:name="_Toc2429"/>
      <w:bookmarkStart w:id="630" w:name="_Toc93674893"/>
      <w:r>
        <w:rPr>
          <w:rFonts w:hint="eastAsia"/>
          <w:i w:val="0"/>
          <w:iCs w:val="0"/>
          <w:color w:val="auto"/>
          <w:sz w:val="22"/>
          <w:szCs w:val="22"/>
          <w:highlight w:val="none"/>
        </w:rPr>
        <w:t>维修资源的获取方便程度</w:t>
      </w:r>
      <w:bookmarkEnd w:id="629"/>
      <w:bookmarkEnd w:id="630"/>
    </w:p>
    <w:p w14:paraId="234F9F2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系统的备品、备件应该在国内容易获得，应保证货源及交款后短时间内可以得到备品、备件。</w:t>
      </w:r>
    </w:p>
    <w:p w14:paraId="234F9F2A">
      <w:pPr>
        <w:pStyle w:val="3"/>
        <w:rPr>
          <w:i w:val="0"/>
          <w:iCs w:val="0"/>
          <w:color w:val="auto"/>
          <w:sz w:val="24"/>
          <w:szCs w:val="32"/>
          <w:highlight w:val="none"/>
        </w:rPr>
      </w:pPr>
      <w:bookmarkStart w:id="631" w:name="_Toc29412"/>
      <w:r>
        <w:rPr>
          <w:rFonts w:hint="eastAsia"/>
          <w:i w:val="0"/>
          <w:iCs w:val="0"/>
          <w:color w:val="auto"/>
          <w:sz w:val="24"/>
          <w:szCs w:val="32"/>
          <w:highlight w:val="none"/>
        </w:rPr>
        <w:t>材料与工艺技术要求</w:t>
      </w:r>
      <w:bookmarkEnd w:id="631"/>
      <w:r>
        <w:rPr>
          <w:rFonts w:hint="eastAsia" w:ascii="Times New Roman" w:hAnsi="Times New Roman" w:cs="Times New Roman"/>
          <w:i w:val="0"/>
          <w:iCs w:val="0"/>
          <w:color w:val="auto"/>
          <w:sz w:val="24"/>
          <w:szCs w:val="32"/>
          <w:highlight w:val="none"/>
        </w:rPr>
        <w:t>★</w:t>
      </w:r>
    </w:p>
    <w:p w14:paraId="234F9F2B">
      <w:pPr>
        <w:pStyle w:val="4"/>
        <w:rPr>
          <w:i w:val="0"/>
          <w:iCs w:val="0"/>
          <w:color w:val="auto"/>
          <w:sz w:val="24"/>
          <w:szCs w:val="21"/>
          <w:highlight w:val="none"/>
        </w:rPr>
      </w:pPr>
      <w:bookmarkStart w:id="632" w:name="_Toc275340918"/>
      <w:bookmarkStart w:id="633" w:name="_Toc667"/>
      <w:bookmarkStart w:id="634" w:name="_Toc201305067"/>
      <w:r>
        <w:rPr>
          <w:rFonts w:hint="eastAsia"/>
          <w:i w:val="0"/>
          <w:iCs w:val="0"/>
          <w:color w:val="auto"/>
          <w:sz w:val="24"/>
          <w:szCs w:val="21"/>
          <w:highlight w:val="none"/>
        </w:rPr>
        <w:t>总则</w:t>
      </w:r>
      <w:bookmarkEnd w:id="632"/>
      <w:bookmarkEnd w:id="633"/>
      <w:bookmarkEnd w:id="634"/>
    </w:p>
    <w:p w14:paraId="234F9F2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所有用于本工程投标的所有材料的质量必须符合中华人民共和国国家标准（GB）、国际标准(ISO)。</w:t>
      </w:r>
    </w:p>
    <w:p w14:paraId="234F9F2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所有的材料、紧固件、工具等都采用公制标定，所有的尺寸采用国际单位制表示。</w:t>
      </w:r>
    </w:p>
    <w:p w14:paraId="234F9F2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所有使用的防火材料必须经过认证，符合国内有关规定，并得到招标人的批准。</w:t>
      </w:r>
    </w:p>
    <w:p w14:paraId="234F9F2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投标人在进行施工时，应遵守国家和主管部门颁发的技术规范和技术要求，若这些标准、规范进行修改时，应当以最新版本为准，投标人应执行下列的标准和规范（包括但不限于）：</w:t>
      </w:r>
    </w:p>
    <w:p w14:paraId="234F9F30">
      <w:pPr>
        <w:pStyle w:val="142"/>
        <w:numPr>
          <w:ilvl w:val="0"/>
          <w:numId w:val="49"/>
        </w:numPr>
        <w:ind w:firstLineChars="0"/>
        <w:rPr>
          <w:i w:val="0"/>
          <w:iCs w:val="0"/>
          <w:color w:val="auto"/>
          <w:sz w:val="21"/>
          <w:szCs w:val="15"/>
          <w:highlight w:val="none"/>
        </w:rPr>
      </w:pPr>
      <w:r>
        <w:rPr>
          <w:rFonts w:hint="eastAsia"/>
          <w:i w:val="0"/>
          <w:iCs w:val="0"/>
          <w:color w:val="auto"/>
          <w:sz w:val="21"/>
          <w:szCs w:val="15"/>
          <w:highlight w:val="none"/>
        </w:rPr>
        <w:t>质量管理应符合ISO9001标准；</w:t>
      </w:r>
    </w:p>
    <w:p w14:paraId="234F9F31">
      <w:pPr>
        <w:pStyle w:val="142"/>
        <w:numPr>
          <w:ilvl w:val="0"/>
          <w:numId w:val="49"/>
        </w:numPr>
        <w:ind w:firstLineChars="0"/>
        <w:rPr>
          <w:i w:val="0"/>
          <w:iCs w:val="0"/>
          <w:color w:val="auto"/>
          <w:sz w:val="21"/>
          <w:szCs w:val="15"/>
          <w:highlight w:val="none"/>
        </w:rPr>
      </w:pPr>
      <w:r>
        <w:rPr>
          <w:rFonts w:hint="eastAsia"/>
          <w:i w:val="0"/>
          <w:iCs w:val="0"/>
          <w:color w:val="auto"/>
          <w:sz w:val="21"/>
          <w:szCs w:val="15"/>
          <w:highlight w:val="none"/>
        </w:rPr>
        <w:t>环境管理应符合ISO14000标准；</w:t>
      </w:r>
    </w:p>
    <w:p w14:paraId="234F9F32">
      <w:pPr>
        <w:pStyle w:val="142"/>
        <w:numPr>
          <w:ilvl w:val="0"/>
          <w:numId w:val="49"/>
        </w:numPr>
        <w:ind w:firstLineChars="0"/>
        <w:rPr>
          <w:i w:val="0"/>
          <w:iCs w:val="0"/>
          <w:color w:val="auto"/>
          <w:sz w:val="21"/>
          <w:szCs w:val="15"/>
          <w:highlight w:val="none"/>
        </w:rPr>
      </w:pPr>
      <w:r>
        <w:rPr>
          <w:rFonts w:hint="eastAsia"/>
          <w:i w:val="0"/>
          <w:iCs w:val="0"/>
          <w:color w:val="auto"/>
          <w:sz w:val="21"/>
          <w:szCs w:val="15"/>
          <w:highlight w:val="none"/>
        </w:rPr>
        <w:t>《地铁设计规范》；</w:t>
      </w:r>
    </w:p>
    <w:p w14:paraId="234F9F33">
      <w:pPr>
        <w:pStyle w:val="142"/>
        <w:numPr>
          <w:ilvl w:val="0"/>
          <w:numId w:val="49"/>
        </w:numPr>
        <w:ind w:firstLineChars="0"/>
        <w:rPr>
          <w:i w:val="0"/>
          <w:iCs w:val="0"/>
          <w:color w:val="auto"/>
          <w:sz w:val="21"/>
          <w:szCs w:val="15"/>
          <w:highlight w:val="none"/>
        </w:rPr>
      </w:pPr>
      <w:r>
        <w:rPr>
          <w:rFonts w:hint="eastAsia"/>
          <w:i w:val="0"/>
          <w:iCs w:val="0"/>
          <w:color w:val="auto"/>
          <w:sz w:val="21"/>
          <w:szCs w:val="15"/>
          <w:highlight w:val="none"/>
        </w:rPr>
        <w:t>《建筑工程施工质量验收统一标准》；</w:t>
      </w:r>
    </w:p>
    <w:p w14:paraId="234F9F34">
      <w:pPr>
        <w:pStyle w:val="142"/>
        <w:numPr>
          <w:ilvl w:val="0"/>
          <w:numId w:val="49"/>
        </w:numPr>
        <w:ind w:firstLineChars="0"/>
        <w:rPr>
          <w:i w:val="0"/>
          <w:iCs w:val="0"/>
          <w:color w:val="auto"/>
          <w:sz w:val="21"/>
          <w:szCs w:val="15"/>
          <w:highlight w:val="none"/>
        </w:rPr>
      </w:pPr>
      <w:r>
        <w:rPr>
          <w:rFonts w:hint="eastAsia"/>
          <w:i w:val="0"/>
          <w:iCs w:val="0"/>
          <w:color w:val="auto"/>
          <w:sz w:val="21"/>
          <w:szCs w:val="15"/>
          <w:highlight w:val="none"/>
        </w:rPr>
        <w:t>《地下铁道工程施工质量验收标准》；</w:t>
      </w:r>
    </w:p>
    <w:p w14:paraId="234F9F35">
      <w:pPr>
        <w:pStyle w:val="142"/>
        <w:numPr>
          <w:ilvl w:val="0"/>
          <w:numId w:val="49"/>
        </w:numPr>
        <w:ind w:firstLineChars="0"/>
        <w:rPr>
          <w:i w:val="0"/>
          <w:iCs w:val="0"/>
          <w:color w:val="auto"/>
          <w:sz w:val="21"/>
          <w:szCs w:val="15"/>
          <w:highlight w:val="none"/>
        </w:rPr>
      </w:pPr>
      <w:r>
        <w:rPr>
          <w:rFonts w:hint="eastAsia"/>
          <w:i w:val="0"/>
          <w:iCs w:val="0"/>
          <w:color w:val="auto"/>
          <w:sz w:val="21"/>
          <w:szCs w:val="15"/>
          <w:highlight w:val="none"/>
        </w:rPr>
        <w:t>《数据中心设计规范》；</w:t>
      </w:r>
    </w:p>
    <w:p w14:paraId="234F9F36">
      <w:pPr>
        <w:pStyle w:val="142"/>
        <w:numPr>
          <w:ilvl w:val="0"/>
          <w:numId w:val="49"/>
        </w:numPr>
        <w:ind w:firstLineChars="0"/>
        <w:rPr>
          <w:i w:val="0"/>
          <w:iCs w:val="0"/>
          <w:color w:val="auto"/>
          <w:sz w:val="21"/>
          <w:szCs w:val="15"/>
          <w:highlight w:val="none"/>
        </w:rPr>
      </w:pPr>
      <w:r>
        <w:rPr>
          <w:rFonts w:hint="eastAsia"/>
          <w:i w:val="0"/>
          <w:iCs w:val="0"/>
          <w:color w:val="auto"/>
          <w:sz w:val="21"/>
          <w:szCs w:val="15"/>
          <w:highlight w:val="none"/>
        </w:rPr>
        <w:t>《火灾自动报警系统施工及验收标准》；</w:t>
      </w:r>
    </w:p>
    <w:p w14:paraId="234F9F37">
      <w:pPr>
        <w:pStyle w:val="142"/>
        <w:numPr>
          <w:ilvl w:val="0"/>
          <w:numId w:val="49"/>
        </w:numPr>
        <w:ind w:firstLineChars="0"/>
        <w:rPr>
          <w:i w:val="0"/>
          <w:iCs w:val="0"/>
          <w:color w:val="auto"/>
          <w:sz w:val="21"/>
          <w:szCs w:val="15"/>
          <w:highlight w:val="none"/>
        </w:rPr>
      </w:pPr>
      <w:r>
        <w:rPr>
          <w:rFonts w:hint="eastAsia"/>
          <w:i w:val="0"/>
          <w:iCs w:val="0"/>
          <w:color w:val="auto"/>
          <w:sz w:val="21"/>
          <w:szCs w:val="15"/>
          <w:highlight w:val="none"/>
        </w:rPr>
        <w:t>《</w:t>
      </w:r>
      <w:bookmarkStart w:id="635" w:name="OLE_LINK6"/>
      <w:r>
        <w:rPr>
          <w:rFonts w:hint="eastAsia"/>
          <w:i w:val="0"/>
          <w:iCs w:val="0"/>
          <w:color w:val="auto"/>
          <w:sz w:val="21"/>
          <w:szCs w:val="15"/>
          <w:highlight w:val="none"/>
        </w:rPr>
        <w:t>电气装置安装工程接地装置施工及验收规范</w:t>
      </w:r>
      <w:bookmarkEnd w:id="635"/>
      <w:r>
        <w:rPr>
          <w:rFonts w:hint="eastAsia"/>
          <w:i w:val="0"/>
          <w:iCs w:val="0"/>
          <w:color w:val="auto"/>
          <w:sz w:val="21"/>
          <w:szCs w:val="15"/>
          <w:highlight w:val="none"/>
        </w:rPr>
        <w:t>》。</w:t>
      </w:r>
    </w:p>
    <w:p w14:paraId="234F9F3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如上述标准和规范未能达到国际和国家最新标准或有其他未涉及的，投标人应按最新标准执行，使其符合最新版本的国际和国家标准、规范，并提供所采用的国际和国家标准、规范以及所采用版本的有关技术资料（投标人中标后提供正本一份、副本二份)。</w:t>
      </w:r>
    </w:p>
    <w:p w14:paraId="234F9F3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由投标人自行采购的设备及材料的类型、规格、数量见主要工程量表。当本招标文件技术规格书与设计图纸不一致时，原则上以本招标文件为准。</w:t>
      </w:r>
    </w:p>
    <w:p w14:paraId="234F9F3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投标人自行采购的材料的厂家必须具备相应的行业资质，选购的材料必须是经过检验的合格产品，并按国家规定获得有关部门的认证。</w:t>
      </w:r>
    </w:p>
    <w:p w14:paraId="234F9F3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所有电线两端的接线端子应有采用仪器统一打印的塑胶标号。</w:t>
      </w:r>
    </w:p>
    <w:p w14:paraId="234F9F3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所有电缆两端的接线端子应有采用统一规格形式的硬塑电缆标牌，明确起始路径及电缆规格型号。</w:t>
      </w:r>
    </w:p>
    <w:p w14:paraId="234F9F3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管道、线槽、电缆需带识别色，并用文字或字母标示，基本识别色等相关要求在设计联络阶段确定。</w:t>
      </w:r>
    </w:p>
    <w:p w14:paraId="234F9F3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仪表、柜和箱的安装材料要求采用不锈钢膨胀螺栓固定。</w:t>
      </w:r>
    </w:p>
    <w:p w14:paraId="234F9F3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投标人使用上述以外的标准和规范时，应加以说明，并提交用于替代的标准或规范，明显的差异点要说明。当推荐的标准和规范等效于或优于本规格书的要求时，才能为招标人接受。</w:t>
      </w:r>
    </w:p>
    <w:p w14:paraId="234F9F40">
      <w:pPr>
        <w:pStyle w:val="4"/>
        <w:rPr>
          <w:i w:val="0"/>
          <w:iCs w:val="0"/>
          <w:color w:val="auto"/>
          <w:sz w:val="24"/>
          <w:szCs w:val="21"/>
          <w:highlight w:val="none"/>
        </w:rPr>
      </w:pPr>
      <w:bookmarkStart w:id="636" w:name="_Toc275340919"/>
      <w:bookmarkStart w:id="637" w:name="_Toc201305068"/>
      <w:bookmarkStart w:id="638" w:name="_Toc28834"/>
      <w:r>
        <w:rPr>
          <w:rFonts w:hint="eastAsia"/>
          <w:i w:val="0"/>
          <w:iCs w:val="0"/>
          <w:color w:val="auto"/>
          <w:sz w:val="24"/>
          <w:szCs w:val="21"/>
          <w:highlight w:val="none"/>
        </w:rPr>
        <w:t>电气设备</w:t>
      </w:r>
      <w:bookmarkEnd w:id="636"/>
      <w:bookmarkEnd w:id="637"/>
      <w:bookmarkEnd w:id="638"/>
    </w:p>
    <w:p w14:paraId="234F9F4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电子组件与组件设备的设计与制造必须采用模块方式，易于故障诊断和更换每个模块的零件，同一类型的模块应可互换。每个插入式模块或板件，需以导向构件设计为基础，保证模块或板件只可插入主单元的正确位置，并确保在任何情况下无法插入其它不适当的位置。</w:t>
      </w:r>
    </w:p>
    <w:p w14:paraId="234F9F4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插板件需有足够的厚度，以保证它的机械刚度可抵御因安装和维护引致损坏的风险。插板件上不允许存有跳线。插线板需按公认的标准设计和制造，包括导体厚度、宽度和间距。</w:t>
      </w:r>
    </w:p>
    <w:p w14:paraId="234F9F4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在不同环境作业的设备需采用不同的标准。所有插入式模块需有明确识别，并需提供包括模块名称、零件号码、序列号和修改号码的标签。</w:t>
      </w:r>
    </w:p>
    <w:p w14:paraId="234F9F44">
      <w:pPr>
        <w:pStyle w:val="4"/>
        <w:rPr>
          <w:i w:val="0"/>
          <w:iCs w:val="0"/>
          <w:color w:val="auto"/>
          <w:sz w:val="24"/>
          <w:szCs w:val="21"/>
          <w:highlight w:val="none"/>
        </w:rPr>
      </w:pPr>
      <w:bookmarkStart w:id="639" w:name="_Toc201305069"/>
      <w:bookmarkStart w:id="640" w:name="_Toc3124"/>
      <w:bookmarkStart w:id="641" w:name="_Toc275340920"/>
      <w:r>
        <w:rPr>
          <w:rFonts w:hint="eastAsia"/>
          <w:i w:val="0"/>
          <w:iCs w:val="0"/>
          <w:color w:val="auto"/>
          <w:sz w:val="24"/>
          <w:szCs w:val="21"/>
          <w:highlight w:val="none"/>
        </w:rPr>
        <w:t>机柜和机箱技术要求</w:t>
      </w:r>
      <w:bookmarkEnd w:id="639"/>
      <w:bookmarkEnd w:id="640"/>
      <w:bookmarkEnd w:id="641"/>
    </w:p>
    <w:p w14:paraId="234F9F4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投标人应提供容纳和保护所供设备所需的所有机柜和其他机箱。</w:t>
      </w:r>
    </w:p>
    <w:p w14:paraId="234F9F4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采用进口冷轧钢板制造，冷轧钢板厚度不小于2mm，机柜、机架、盘和其他支撑结构都经细致清洗和防锈处理，静电喷塑，美观耐用不变形，应适应长沙市轨道交通的环境条件。</w:t>
      </w:r>
    </w:p>
    <w:p w14:paraId="234F9F4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投标人可根据工程选用设备的情况统一考虑购置机柜和机箱，投标人应给出统一购置机柜和机箱的方案。</w:t>
      </w:r>
    </w:p>
    <w:p w14:paraId="234F9F4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机柜和机箱应有良好的防尘、防潮、通风散热等能力。</w:t>
      </w:r>
    </w:p>
    <w:p w14:paraId="234F9F4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机柜和机箱采用统一风格的标志、字母、符号。机柜和机箱的正面要有描述设备功能的铭牌。机柜和机箱颜色在设计联络时决定。</w:t>
      </w:r>
    </w:p>
    <w:p w14:paraId="234F9F4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机柜和机箱内部配线应布局合理、整齐，在接线端口处不应露出裸露的导体。机柜和机箱的电缆、电线应采用低烟、无卤、阻燃的知名品牌产品。箱柜内的电缆芯线接线应牢固、排列整齐，并应留有适当裕度。</w:t>
      </w:r>
    </w:p>
    <w:p w14:paraId="234F9F4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机柜应配备电源工作指示灯、门控照明灯、门锁、电源插座等，以方便系统维护。</w:t>
      </w:r>
    </w:p>
    <w:p w14:paraId="234F9F4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机柜和机箱内的相关附件（如DC24V电源、电源开关、端子排和中间继电器等），应采用质量可靠产品。</w:t>
      </w:r>
    </w:p>
    <w:p w14:paraId="234F9F4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机柜和机箱应采用不锈钢紧固件。</w:t>
      </w:r>
    </w:p>
    <w:p w14:paraId="234F9F4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机柜和机箱内配置的电源开关、端子排要求有不低于20%的余量。</w:t>
      </w:r>
    </w:p>
    <w:p w14:paraId="234F9F4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机柜要求采用下走线的方式（同时预留上走线条件），且机柜上、下方均应预留安装孔，保证走线架、线槽可靠固定。机柜具备足够结构强度，能承受走线架、线缆等的重量，底部固定牢靠，机柜底座高度需与防静电地板匹配，且满足抗震加固要求。</w:t>
      </w:r>
    </w:p>
    <w:p w14:paraId="234F9F5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机柜和机箱的其他要求详见专用技术部分的内容。</w:t>
      </w:r>
    </w:p>
    <w:p w14:paraId="234F9F51">
      <w:pPr>
        <w:pStyle w:val="4"/>
        <w:rPr>
          <w:i w:val="0"/>
          <w:iCs w:val="0"/>
          <w:color w:val="auto"/>
          <w:sz w:val="24"/>
          <w:szCs w:val="21"/>
          <w:highlight w:val="none"/>
        </w:rPr>
      </w:pPr>
      <w:bookmarkStart w:id="642" w:name="_Toc4345"/>
      <w:bookmarkStart w:id="643" w:name="_Toc275340921"/>
      <w:bookmarkStart w:id="644" w:name="_Toc201305070"/>
      <w:bookmarkStart w:id="645" w:name="_Toc472432961"/>
      <w:r>
        <w:rPr>
          <w:rFonts w:hint="eastAsia"/>
          <w:i w:val="0"/>
          <w:iCs w:val="0"/>
          <w:color w:val="auto"/>
          <w:sz w:val="24"/>
          <w:szCs w:val="21"/>
          <w:highlight w:val="none"/>
        </w:rPr>
        <w:t>封闭槽式电缆桥架技术要求</w:t>
      </w:r>
      <w:bookmarkEnd w:id="642"/>
      <w:bookmarkEnd w:id="643"/>
      <w:bookmarkEnd w:id="644"/>
      <w:bookmarkEnd w:id="645"/>
    </w:p>
    <w:p w14:paraId="234F9F5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线槽材质采用优质冷轧钢板，钢板厚度1.5mm以上(视桥架宽度定)，其中防静电地板下热镀锌金属地槽钢板厚度需2mm以上。热镀锌防腐处理（镀锌厚度大于65μm），镀锌层表面应均匀，平整光亮，无起皱、气泡等缺陷。线槽的钢板厚度及防腐镀锌层厚度应符合《钢制电缆桥架工程技术规程》T/CECS 31-2017（中国工程建设协会标准）的要求。</w:t>
      </w:r>
    </w:p>
    <w:p w14:paraId="234F9F5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线槽两侧边应平行并垂直底边，断面形状应端正、无弯曲、扭曲、裂纹、边沿毛刺等缺陷；桥架槽内外应光滑、平整、无损伤电缆的凸起和尖角。</w:t>
      </w:r>
    </w:p>
    <w:p w14:paraId="234F9F54">
      <w:pPr>
        <w:pStyle w:val="142"/>
        <w:ind w:firstLine="420"/>
        <w:rPr>
          <w:rFonts w:hint="eastAsia"/>
          <w:i w:val="0"/>
          <w:iCs w:val="0"/>
          <w:color w:val="auto"/>
          <w:sz w:val="21"/>
          <w:szCs w:val="15"/>
          <w:highlight w:val="none"/>
          <w:lang w:val="en-US" w:eastAsia="zh-CN"/>
        </w:rPr>
      </w:pPr>
      <w:bookmarkStart w:id="646" w:name="OLE_LINK9"/>
      <w:r>
        <w:rPr>
          <w:rFonts w:hint="eastAsia"/>
          <w:i w:val="0"/>
          <w:iCs w:val="0"/>
          <w:color w:val="auto"/>
          <w:sz w:val="21"/>
          <w:szCs w:val="15"/>
          <w:highlight w:val="none"/>
          <w:lang w:val="en-US" w:eastAsia="zh-CN"/>
        </w:rPr>
        <w:t>投标人应配套提供线槽安装所需的吊杆、支吊架、抗震支吊架、托臂等附件，吊杆直径应大于12mm，支吊架、托臂所用钢材宽度应大于50mm，厚度应大于5mm；所有附件均热镀锌防腐处理（镀锌厚度大于54μm），膨胀螺栓应不小于M10。</w:t>
      </w:r>
    </w:p>
    <w:bookmarkEnd w:id="646"/>
    <w:p w14:paraId="234F9F5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根据《建筑机电工程抗震设计规范》、《建筑与市政工程抗震通用规范》、《建筑机电设备抗震支吊架通用技术条件》、《18R417-2装配式管道支吊架（含抗震支吊架）》等要求，在线槽、管线自行设置支架处提供抗震支吊架等相关抗震、防晃措施。应对所有抗震节点编制节点编号或识别代码，并提供相对应的抗震力学计算书和相应的抗震系统的测试报告，并通过质监站验收。</w:t>
      </w:r>
    </w:p>
    <w:p w14:paraId="234F9F5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线槽及其附件除热镀锌外，还应外喷涂防火涂料；防火涂料应有国家消防主管部门认可的质检合格报告，质量优质；防火涂料喷涂质量与厚度应满足消防规范和消防主管部门的要求。线槽的防火涂层符合《钢结构防火涂料应用技术规程》T/CECS 24-2020（中国工程建设标准化协会标准）以及《钢结构防火涂料》（GB14907-2018）的要求，使其整体耐火极限不低于1.5小时。</w:t>
      </w:r>
    </w:p>
    <w:p w14:paraId="234F9F5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线槽及其附件的紧固件采用同种材料。具有质量监督检验部门的检验报告。</w:t>
      </w:r>
    </w:p>
    <w:p w14:paraId="234F9F5D">
      <w:pPr>
        <w:pStyle w:val="4"/>
        <w:rPr>
          <w:i w:val="0"/>
          <w:iCs w:val="0"/>
          <w:color w:val="auto"/>
          <w:sz w:val="24"/>
          <w:szCs w:val="21"/>
          <w:highlight w:val="none"/>
        </w:rPr>
      </w:pPr>
      <w:bookmarkStart w:id="647" w:name="_Toc275340922"/>
      <w:bookmarkStart w:id="648" w:name="_Toc201305072"/>
      <w:bookmarkStart w:id="649" w:name="_Toc472432962"/>
      <w:bookmarkStart w:id="650" w:name="_Toc8942"/>
      <w:bookmarkStart w:id="651" w:name="OLE_LINK1"/>
      <w:r>
        <w:rPr>
          <w:rFonts w:hint="eastAsia"/>
          <w:i w:val="0"/>
          <w:iCs w:val="0"/>
          <w:color w:val="auto"/>
          <w:sz w:val="24"/>
          <w:szCs w:val="21"/>
          <w:highlight w:val="none"/>
        </w:rPr>
        <w:t>电线钢管技术要求</w:t>
      </w:r>
      <w:bookmarkEnd w:id="647"/>
      <w:bookmarkEnd w:id="648"/>
      <w:bookmarkEnd w:id="649"/>
      <w:bookmarkEnd w:id="650"/>
    </w:p>
    <w:bookmarkEnd w:id="651"/>
    <w:p w14:paraId="234F9F5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电线钢管采用优质冷轧带钢材料，壁厚大于等于2mm，壁厚应均匀，热镀锌防腐处理（镀锌厚度大于60μm），镀锌层表面应均匀，平整光亮，无起皱、气泡等缺陷。</w:t>
      </w:r>
    </w:p>
    <w:p w14:paraId="234F9F5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电线钢管两端内外倒角圆滑无毛刺，内壁光滑、平整、无损伤电缆的凸起和尖角。</w:t>
      </w:r>
    </w:p>
    <w:p w14:paraId="234F9F6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满足国家标准GB/T 20041.1-2015电缆管理用导管系统 第1部分:</w:t>
      </w:r>
      <w:r>
        <w:rPr>
          <w:rFonts w:hint="eastAsia"/>
          <w:i w:val="0"/>
          <w:iCs w:val="0"/>
          <w:color w:val="auto"/>
          <w:sz w:val="21"/>
          <w:szCs w:val="15"/>
          <w:highlight w:val="none"/>
          <w:lang w:val="en-US" w:eastAsia="zh-CN"/>
        </w:rPr>
        <w:fldChar w:fldCharType="begin"/>
      </w:r>
      <w:r>
        <w:rPr>
          <w:rFonts w:hint="eastAsia"/>
          <w:i w:val="0"/>
          <w:iCs w:val="0"/>
          <w:color w:val="auto"/>
          <w:sz w:val="21"/>
          <w:szCs w:val="15"/>
          <w:highlight w:val="none"/>
          <w:lang w:val="en-US" w:eastAsia="zh-CN"/>
        </w:rPr>
        <w:instrText xml:space="preserve"> HYPERLINK "http://www.so.com/s?q=%E9%80%9A%E7%94%A8&amp;ie=utf-8&amp;src=internal_wenda_recommend_textn" \t "_blank" </w:instrText>
      </w:r>
      <w:r>
        <w:rPr>
          <w:rFonts w:hint="eastAsia"/>
          <w:i w:val="0"/>
          <w:iCs w:val="0"/>
          <w:color w:val="auto"/>
          <w:sz w:val="21"/>
          <w:szCs w:val="15"/>
          <w:highlight w:val="none"/>
          <w:lang w:val="en-US" w:eastAsia="zh-CN"/>
        </w:rPr>
        <w:fldChar w:fldCharType="separate"/>
      </w:r>
      <w:r>
        <w:rPr>
          <w:rFonts w:hint="eastAsia"/>
          <w:i w:val="0"/>
          <w:iCs w:val="0"/>
          <w:color w:val="auto"/>
          <w:sz w:val="21"/>
          <w:szCs w:val="15"/>
          <w:highlight w:val="none"/>
          <w:lang w:val="en-US" w:eastAsia="zh-CN"/>
        </w:rPr>
        <w:t>通用</w:t>
      </w:r>
      <w:r>
        <w:rPr>
          <w:rFonts w:hint="eastAsia"/>
          <w:i w:val="0"/>
          <w:iCs w:val="0"/>
          <w:color w:val="auto"/>
          <w:sz w:val="21"/>
          <w:szCs w:val="15"/>
          <w:highlight w:val="none"/>
          <w:lang w:val="en-US" w:eastAsia="zh-CN"/>
        </w:rPr>
        <w:fldChar w:fldCharType="end"/>
      </w:r>
      <w:r>
        <w:rPr>
          <w:rFonts w:hint="eastAsia"/>
          <w:i w:val="0"/>
          <w:iCs w:val="0"/>
          <w:color w:val="auto"/>
          <w:sz w:val="21"/>
          <w:szCs w:val="15"/>
          <w:highlight w:val="none"/>
          <w:lang w:val="en-US" w:eastAsia="zh-CN"/>
        </w:rPr>
        <w:t>要求。</w:t>
      </w:r>
    </w:p>
    <w:p w14:paraId="234F9F6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具有国家电工产品认证委员会颁发的型式认可证书。</w:t>
      </w:r>
    </w:p>
    <w:p w14:paraId="234F9F6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具有质量监督检验部门的检验报告。</w:t>
      </w:r>
    </w:p>
    <w:p w14:paraId="234F9F6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电线钢管配件接头、弯头、接线盒等附件的内外表面均应热镀锌防腐处理（镀锌厚度大于60μm）。</w:t>
      </w:r>
    </w:p>
    <w:p w14:paraId="234F9F6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电线钢管及其附件除热镀锌外，还应外喷涂防火涂料，管材在进场前应刷好防火涂料，按照成品到货；防火涂料应有国家消防主管部门认可的质检合格报告，质量优质；防火涂料喷涂质量与厚度应满足消防规范和消防主管部门的要求。</w:t>
      </w:r>
    </w:p>
    <w:p w14:paraId="234F9F6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电线钢管及其附件的紧固件采用同种材料，电线钢管的连接不允许采用焊接方式，须采用螺纹式连接。</w:t>
      </w:r>
    </w:p>
    <w:p w14:paraId="234F9F6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电线钢管的防火涂层符合《钢结构防火涂料应用技术规程》T/CECS 24-2020（中国工程建设标准化协会标准）以及《钢结构防火涂料》（GB14907-2018）的要求。</w:t>
      </w:r>
    </w:p>
    <w:p w14:paraId="234F9F67">
      <w:pPr>
        <w:pStyle w:val="4"/>
        <w:rPr>
          <w:i w:val="0"/>
          <w:iCs w:val="0"/>
          <w:color w:val="auto"/>
          <w:sz w:val="24"/>
          <w:szCs w:val="21"/>
          <w:highlight w:val="none"/>
        </w:rPr>
      </w:pPr>
      <w:bookmarkStart w:id="652" w:name="_Toc275340923"/>
      <w:bookmarkStart w:id="653" w:name="_Toc22583"/>
      <w:bookmarkStart w:id="654" w:name="_Toc472432963"/>
      <w:bookmarkStart w:id="655" w:name="_Toc201305074"/>
      <w:r>
        <w:rPr>
          <w:rFonts w:hint="eastAsia"/>
          <w:i w:val="0"/>
          <w:iCs w:val="0"/>
          <w:color w:val="auto"/>
          <w:sz w:val="24"/>
          <w:szCs w:val="21"/>
          <w:highlight w:val="none"/>
        </w:rPr>
        <w:t>金属软管技术要求</w:t>
      </w:r>
      <w:bookmarkEnd w:id="652"/>
      <w:bookmarkEnd w:id="653"/>
      <w:bookmarkEnd w:id="654"/>
      <w:bookmarkEnd w:id="655"/>
    </w:p>
    <w:p w14:paraId="234F9F6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金属软管的选用应满足国家相关标准。</w:t>
      </w:r>
    </w:p>
    <w:p w14:paraId="234F9F6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采用优质钢材料，管内外倒角圆滑无毛刺，内壁光滑、平整、无损伤电缆的凸起和尖角，管内外接口处没有裂纹及擦毛。</w:t>
      </w:r>
    </w:p>
    <w:p w14:paraId="234F9F6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管内外表面镀锌（镀锌厚度60μm以上），镀锌层表面应完整，平整光滑，无脱锌、黑斑等缺陷；管外喷涂质量优质防火涂料，喷涂质量与厚度应满足消防规范和消防主管部门的要求。</w:t>
      </w:r>
    </w:p>
    <w:p w14:paraId="234F9F6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按规范规定的自然弯曲直径作靠模，将软管紧贴靠模双向弯曲6次，软管应不脱扣或开裂。</w:t>
      </w:r>
    </w:p>
    <w:p w14:paraId="234F9F6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管节距之间应灵活并有撑力弹性，不允许有阻塞和严重的拉力弹性。</w:t>
      </w:r>
    </w:p>
    <w:p w14:paraId="234F9F6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具有质量检测部门的检验报告。</w:t>
      </w:r>
    </w:p>
    <w:p w14:paraId="234F9F6E">
      <w:pPr>
        <w:pStyle w:val="4"/>
        <w:rPr>
          <w:i w:val="0"/>
          <w:iCs w:val="0"/>
          <w:color w:val="auto"/>
          <w:sz w:val="24"/>
          <w:szCs w:val="21"/>
          <w:highlight w:val="none"/>
        </w:rPr>
      </w:pPr>
      <w:bookmarkStart w:id="656" w:name="_Toc21263"/>
      <w:bookmarkStart w:id="657" w:name="_Toc472432964"/>
      <w:bookmarkStart w:id="658" w:name="_Toc275340924"/>
      <w:bookmarkStart w:id="659" w:name="_Toc201305075"/>
      <w:r>
        <w:rPr>
          <w:rFonts w:hint="eastAsia"/>
          <w:i w:val="0"/>
          <w:iCs w:val="0"/>
          <w:color w:val="auto"/>
          <w:sz w:val="24"/>
          <w:szCs w:val="21"/>
          <w:highlight w:val="none"/>
        </w:rPr>
        <w:t>电缆（电线）和光缆技术要求</w:t>
      </w:r>
      <w:bookmarkEnd w:id="656"/>
      <w:bookmarkEnd w:id="657"/>
      <w:bookmarkEnd w:id="658"/>
      <w:bookmarkEnd w:id="659"/>
    </w:p>
    <w:p w14:paraId="234F9F6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电缆（线）应采用低烟、无卤、阻燃、耐火型产品，光缆应采用低烟、无卤、阻燃型产品；车辆段等室外敷设的电缆采用低烟、无卤、阻燃型、耐火型、铠装产品。电缆（线）、光缆阻燃性能满足《阻燃和耐火电线电缆或光缆通则》GB/T 19666中阻燃A类。同时要求所有光缆、电缆燃烧性能不低于《电缆及光缆燃烧性能分级》GB31247 B1(d0,t0,a2)；上述光电缆均应具有国家权威机构的检验报告或型式试验报告。</w:t>
      </w:r>
    </w:p>
    <w:p w14:paraId="234F9F7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施工材料中所需的光电缆的采购、相关配套材料（如：尾纤、光纤熔接盒、光纤配线架、绝缘节等）以及成端上架、测试、检测费用均由投标人负责考虑，并包含在投标价总价中，且最终解释权归招标人所有。</w:t>
      </w:r>
    </w:p>
    <w:p w14:paraId="234F9F71">
      <w:pPr>
        <w:pStyle w:val="4"/>
        <w:rPr>
          <w:i w:val="0"/>
          <w:iCs w:val="0"/>
          <w:color w:val="auto"/>
          <w:sz w:val="24"/>
          <w:szCs w:val="21"/>
          <w:highlight w:val="none"/>
        </w:rPr>
      </w:pPr>
      <w:bookmarkStart w:id="660" w:name="_Toc201305076"/>
      <w:bookmarkStart w:id="661" w:name="_Toc275340925"/>
      <w:bookmarkStart w:id="662" w:name="_Toc15836"/>
      <w:r>
        <w:rPr>
          <w:rFonts w:hint="eastAsia"/>
          <w:i w:val="0"/>
          <w:iCs w:val="0"/>
          <w:color w:val="auto"/>
          <w:sz w:val="24"/>
          <w:szCs w:val="21"/>
          <w:highlight w:val="none"/>
        </w:rPr>
        <w:t>标示牌和标签</w:t>
      </w:r>
      <w:bookmarkEnd w:id="660"/>
      <w:bookmarkEnd w:id="661"/>
      <w:bookmarkEnd w:id="662"/>
    </w:p>
    <w:p w14:paraId="234F9F72">
      <w:pPr>
        <w:pStyle w:val="6"/>
        <w:ind w:left="0"/>
        <w:rPr>
          <w:i w:val="0"/>
          <w:iCs w:val="0"/>
          <w:color w:val="auto"/>
          <w:sz w:val="22"/>
          <w:szCs w:val="22"/>
          <w:highlight w:val="none"/>
        </w:rPr>
      </w:pPr>
      <w:bookmarkStart w:id="663" w:name="_Toc10538"/>
      <w:r>
        <w:rPr>
          <w:rFonts w:hint="eastAsia"/>
          <w:i w:val="0"/>
          <w:iCs w:val="0"/>
          <w:color w:val="auto"/>
          <w:sz w:val="22"/>
          <w:szCs w:val="22"/>
          <w:highlight w:val="none"/>
        </w:rPr>
        <w:t>标示牌</w:t>
      </w:r>
      <w:bookmarkEnd w:id="663"/>
    </w:p>
    <w:p w14:paraId="234F9F7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投标人需提供一个经招标人批准的名称和等级的金属标牌，并贴在设备的每一主要部件上。</w:t>
      </w:r>
    </w:p>
    <w:p w14:paraId="234F9F74">
      <w:pPr>
        <w:pStyle w:val="6"/>
        <w:ind w:left="0"/>
        <w:rPr>
          <w:i w:val="0"/>
          <w:iCs w:val="0"/>
          <w:color w:val="auto"/>
          <w:sz w:val="22"/>
          <w:szCs w:val="22"/>
          <w:highlight w:val="none"/>
        </w:rPr>
      </w:pPr>
      <w:bookmarkStart w:id="664" w:name="_Toc27409"/>
      <w:r>
        <w:rPr>
          <w:rFonts w:hint="eastAsia"/>
          <w:i w:val="0"/>
          <w:iCs w:val="0"/>
          <w:color w:val="auto"/>
          <w:sz w:val="22"/>
          <w:szCs w:val="22"/>
          <w:highlight w:val="none"/>
        </w:rPr>
        <w:t>标签</w:t>
      </w:r>
      <w:bookmarkEnd w:id="664"/>
    </w:p>
    <w:p w14:paraId="234F9F7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所有机柜、面板、组件和配件上都需有描述性的标签。</w:t>
      </w:r>
    </w:p>
    <w:p w14:paraId="234F9F7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所有新设备应显示品牌、样式、类型、版本和系列号。当设备安装在最终位置时，应提供包含上述内容的标签，标签适合采用无障碍、易于接近显示内容的形式。</w:t>
      </w:r>
    </w:p>
    <w:p w14:paraId="234F9F7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标签应采用批准的材料，适合现场的条件，用铆钉或相似的扣件牢固固定。字体和字母的尺寸需经招标人审批。</w:t>
      </w:r>
    </w:p>
    <w:p w14:paraId="234F9F7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所有设备架应显示它们所容纳的设备各部分的功能的名称，以便于识别设备的各个部分，并与现有标签方式保持一致。</w:t>
      </w:r>
    </w:p>
    <w:p w14:paraId="234F9F79">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所有标签和标记需为永久性的，使用中文和英文，并须得到招标人的批准。</w:t>
      </w:r>
    </w:p>
    <w:p w14:paraId="234F9F7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标签术语应采用在详细设计阶段招标人建议的标准术语。</w:t>
      </w:r>
    </w:p>
    <w:p w14:paraId="234F9F7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电力警告标识需符合国内有关规定。在无明确规定的情况下，需采用白色背景上书红字，并有图解符号，所有此类标识需提交招标人审批。</w:t>
      </w:r>
    </w:p>
    <w:p w14:paraId="234F9F7C">
      <w:pPr>
        <w:pStyle w:val="4"/>
        <w:rPr>
          <w:i w:val="0"/>
          <w:iCs w:val="0"/>
          <w:color w:val="auto"/>
          <w:sz w:val="24"/>
          <w:szCs w:val="21"/>
          <w:highlight w:val="none"/>
        </w:rPr>
      </w:pPr>
      <w:bookmarkStart w:id="665" w:name="_Toc17687"/>
      <w:bookmarkStart w:id="666" w:name="_Toc472432966"/>
      <w:bookmarkStart w:id="667" w:name="_Toc201305077"/>
      <w:r>
        <w:rPr>
          <w:rFonts w:hint="eastAsia"/>
          <w:i w:val="0"/>
          <w:iCs w:val="0"/>
          <w:color w:val="auto"/>
          <w:sz w:val="24"/>
          <w:szCs w:val="21"/>
          <w:highlight w:val="none"/>
        </w:rPr>
        <w:t>材料和辅助配件</w:t>
      </w:r>
      <w:bookmarkEnd w:id="665"/>
      <w:bookmarkEnd w:id="666"/>
      <w:bookmarkEnd w:id="667"/>
    </w:p>
    <w:p w14:paraId="234F9F7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螺丝、弹簧和枢轴在仪器和继电器中需避免使用铁质和钢质的螺丝、弹簧及枢轴。</w:t>
      </w:r>
    </w:p>
    <w:p w14:paraId="234F9F7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在使用钢质螺丝时，需镀锌、铬或镉；因公差限度要求而不适用电镀时，需采用防腐钢材。弹簧需采用不生锈的材料（如磷青铜或镍黄铜）。</w:t>
      </w:r>
    </w:p>
    <w:p w14:paraId="234F9F7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枢轴或其它零件必须使用含铁材料时，需采用已批准的防腐材料。</w:t>
      </w:r>
    </w:p>
    <w:p w14:paraId="234F9F8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螺栓、双头螺栓、螺母和垫圈螺栓、双头螺栓、螺母、垫圈和销子需根据确定的用途，使用镀锌钢、不锈钢或高度抗拉的铜合金制造，并需特别注意防腐蚀要求。</w:t>
      </w:r>
    </w:p>
    <w:p w14:paraId="234F9F8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螺纹需机械加工成公制尺寸的标准型式。在符合被认可的标准条件下，滚柱螺纹尺寸为M10是可接受的。所有螺母和螺栓头下边需有垫圈。螺栓和双头螺栓需超过螺母外表面至少一个螺距。除非另有说明，否则不得超出螺母外表面四个螺距。所有连接部件必须设置已批准的锁闭装置。所有部件的设计需在其完全安装在系统内时，在维护、检查和修理过程中，所有螺栓头和螺母均可易于使用普通开口扳手或梅花双头扳手松开。</w:t>
      </w:r>
    </w:p>
    <w:p w14:paraId="234F9F8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抗震支吊架、抱箍扁钢、管卡、角钢支架、横担扁钢等金属辅材需镀锌处理，并需特别注意防腐蚀要求。</w:t>
      </w:r>
    </w:p>
    <w:p w14:paraId="234F9F8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线缆固线器主要在云平台设备室、车站控制室、车站通信设备室等综合线槽处，用于</w:t>
      </w:r>
      <w:r>
        <w:rPr>
          <w:rFonts w:hint="eastAsia"/>
          <w:i w:val="0"/>
          <w:iCs w:val="0"/>
          <w:color w:val="auto"/>
          <w:sz w:val="21"/>
          <w:szCs w:val="15"/>
          <w:highlight w:val="none"/>
          <w:lang w:val="en-US" w:eastAsia="zh-CN"/>
        </w:rPr>
        <w:fldChar w:fldCharType="begin"/>
      </w:r>
      <w:r>
        <w:rPr>
          <w:rFonts w:hint="eastAsia"/>
          <w:i w:val="0"/>
          <w:iCs w:val="0"/>
          <w:color w:val="auto"/>
          <w:sz w:val="21"/>
          <w:szCs w:val="15"/>
          <w:highlight w:val="none"/>
          <w:lang w:val="en-US" w:eastAsia="zh-CN"/>
        </w:rPr>
        <w:instrText xml:space="preserve"> HYPERLINK "https://baike.so.com/doc/6175446-6388687.html" \t "_blank" </w:instrText>
      </w:r>
      <w:r>
        <w:rPr>
          <w:rFonts w:hint="eastAsia"/>
          <w:i w:val="0"/>
          <w:iCs w:val="0"/>
          <w:color w:val="auto"/>
          <w:sz w:val="21"/>
          <w:szCs w:val="15"/>
          <w:highlight w:val="none"/>
          <w:lang w:val="en-US" w:eastAsia="zh-CN"/>
        </w:rPr>
        <w:fldChar w:fldCharType="separate"/>
      </w:r>
      <w:r>
        <w:rPr>
          <w:rFonts w:hint="eastAsia"/>
          <w:i w:val="0"/>
          <w:iCs w:val="0"/>
          <w:color w:val="auto"/>
          <w:sz w:val="21"/>
          <w:szCs w:val="15"/>
          <w:highlight w:val="none"/>
          <w:lang w:val="en-US" w:eastAsia="zh-CN"/>
        </w:rPr>
        <w:t>整理</w:t>
      </w:r>
      <w:r>
        <w:rPr>
          <w:rFonts w:hint="eastAsia"/>
          <w:i w:val="0"/>
          <w:iCs w:val="0"/>
          <w:color w:val="auto"/>
          <w:sz w:val="21"/>
          <w:szCs w:val="15"/>
          <w:highlight w:val="none"/>
          <w:lang w:val="en-US" w:eastAsia="zh-CN"/>
        </w:rPr>
        <w:fldChar w:fldCharType="end"/>
      </w:r>
      <w:r>
        <w:rPr>
          <w:rFonts w:hint="eastAsia"/>
          <w:i w:val="0"/>
          <w:iCs w:val="0"/>
          <w:color w:val="auto"/>
          <w:sz w:val="21"/>
          <w:szCs w:val="15"/>
          <w:highlight w:val="none"/>
          <w:lang w:val="en-US" w:eastAsia="zh-CN"/>
        </w:rPr>
        <w:t>和固定线缆，使线缆均匀散热，使线缆整齐有序。</w:t>
      </w:r>
    </w:p>
    <w:p w14:paraId="234F9F84">
      <w:pPr>
        <w:pStyle w:val="4"/>
        <w:rPr>
          <w:i w:val="0"/>
          <w:iCs w:val="0"/>
          <w:color w:val="auto"/>
          <w:sz w:val="24"/>
          <w:szCs w:val="21"/>
          <w:highlight w:val="none"/>
        </w:rPr>
      </w:pPr>
      <w:bookmarkStart w:id="668" w:name="_Toc472432967"/>
      <w:bookmarkStart w:id="669" w:name="_Toc275340927"/>
      <w:bookmarkStart w:id="670" w:name="_Toc181498808"/>
      <w:bookmarkStart w:id="671" w:name="_Toc5695"/>
      <w:bookmarkStart w:id="672" w:name="_Toc201305078"/>
      <w:r>
        <w:rPr>
          <w:rFonts w:hint="eastAsia"/>
          <w:i w:val="0"/>
          <w:iCs w:val="0"/>
          <w:color w:val="auto"/>
          <w:sz w:val="24"/>
          <w:szCs w:val="21"/>
          <w:highlight w:val="none"/>
        </w:rPr>
        <w:t>线缆测试</w:t>
      </w:r>
      <w:bookmarkEnd w:id="668"/>
      <w:bookmarkEnd w:id="669"/>
      <w:bookmarkEnd w:id="670"/>
      <w:bookmarkEnd w:id="671"/>
      <w:bookmarkEnd w:id="672"/>
    </w:p>
    <w:p w14:paraId="234F9F8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所有新线缆须根据有关规范的要求测试，记录测试结果须呈交招标人审批。</w:t>
      </w:r>
    </w:p>
    <w:p w14:paraId="234F9F8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需使用1000V高阻表测量每个线缆芯线对线缆内所有其它线缆芯线、对线缆外皮、和对地的绝缘电阻。绝缘电阻须满足相应规范要求。</w:t>
      </w:r>
    </w:p>
    <w:p w14:paraId="234F9F87">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每根线缆芯线和外皮须分别测试。</w:t>
      </w:r>
    </w:p>
    <w:p w14:paraId="234F9F8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投标人须更换不符合技术要求的所有线缆。</w:t>
      </w:r>
    </w:p>
    <w:p w14:paraId="234F9F89">
      <w:pPr>
        <w:pStyle w:val="4"/>
        <w:rPr>
          <w:i w:val="0"/>
          <w:iCs w:val="0"/>
          <w:color w:val="auto"/>
          <w:sz w:val="24"/>
          <w:szCs w:val="21"/>
          <w:highlight w:val="none"/>
        </w:rPr>
      </w:pPr>
      <w:bookmarkStart w:id="673" w:name="_Toc201305079"/>
      <w:bookmarkStart w:id="674" w:name="_Toc181498809"/>
      <w:bookmarkStart w:id="675" w:name="_Toc472432968"/>
      <w:bookmarkStart w:id="676" w:name="_Toc275340928"/>
      <w:bookmarkStart w:id="677" w:name="_Toc2507"/>
      <w:r>
        <w:rPr>
          <w:rFonts w:hint="eastAsia"/>
          <w:i w:val="0"/>
          <w:iCs w:val="0"/>
          <w:color w:val="auto"/>
          <w:sz w:val="24"/>
          <w:szCs w:val="21"/>
          <w:highlight w:val="none"/>
        </w:rPr>
        <w:t>焊接与钎焊</w:t>
      </w:r>
      <w:bookmarkEnd w:id="673"/>
      <w:bookmarkEnd w:id="674"/>
      <w:bookmarkEnd w:id="675"/>
      <w:bookmarkEnd w:id="676"/>
      <w:bookmarkEnd w:id="677"/>
    </w:p>
    <w:p w14:paraId="234F9F8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产品若有焊接，其所有的结构焊接应符合DIN8563或EN25817的要求。现场焊接只容许用于小件钢结构、维修和轻微的改动。</w:t>
      </w:r>
    </w:p>
    <w:p w14:paraId="234F9F8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焊工的资格要求：焊工只能从事其已取得焊接资格的焊种；焊工必须按DIN 8561/DIN EN 287 的规定进行资格鉴定；焊工的资格鉴定测试记录应保存备查；</w:t>
      </w:r>
    </w:p>
    <w:p w14:paraId="234F9F8C">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焊接质量对所有的结构件焊缝要求全焊透。无衬垫，单面焊的全焊透焊缝必须进行合格试验。</w:t>
      </w:r>
    </w:p>
    <w:p w14:paraId="234F9F8D">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检查所有的结构件焊缝需作100%的目视检查。对所有的首批产品焊件进行超声波检查、着色和/或磁粉探伤检查。对其他所有焊缝，应提出随机抽样检查的方案；至少要对焊缝总长1%的焊缝作无损探伤检查和试验。</w:t>
      </w:r>
    </w:p>
    <w:p w14:paraId="234F9F8E">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所有质量保证措施应纳入文件，包括：检查要求；焊工资格证书；焊修工艺。</w:t>
      </w:r>
    </w:p>
    <w:p w14:paraId="234F9F8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焊条和焊丝应按用途购买相应型号的产品；用于特殊用途的焊材的技术规范应提交招标人审查。</w:t>
      </w:r>
    </w:p>
    <w:p w14:paraId="234F9F90">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不锈钢的焊接应满足DIN8563的要求。应精确控制焊接参数，例如：电流、时间、焊条规格、(坡口或接头)形状及触点压力，以使焊缝均匀一致。焊缝不应产生晶间应力腐蚀裂纹。在狭小场地进行焊接，需使用排烟设备。需使用电焊遮光罩，以降低伤害公众的危险。</w:t>
      </w:r>
    </w:p>
    <w:p w14:paraId="234F9F91">
      <w:pPr>
        <w:pStyle w:val="4"/>
        <w:rPr>
          <w:i w:val="0"/>
          <w:iCs w:val="0"/>
          <w:color w:val="auto"/>
          <w:sz w:val="24"/>
          <w:szCs w:val="21"/>
          <w:highlight w:val="none"/>
        </w:rPr>
      </w:pPr>
      <w:bookmarkStart w:id="678" w:name="_Toc11277"/>
      <w:bookmarkStart w:id="679" w:name="_Toc181498817"/>
      <w:bookmarkStart w:id="680" w:name="_Toc275340929"/>
      <w:bookmarkStart w:id="681" w:name="_Toc201305080"/>
      <w:bookmarkStart w:id="682" w:name="_Toc472432969"/>
      <w:r>
        <w:rPr>
          <w:rFonts w:hint="eastAsia"/>
          <w:i w:val="0"/>
          <w:iCs w:val="0"/>
          <w:color w:val="auto"/>
          <w:sz w:val="24"/>
          <w:szCs w:val="21"/>
          <w:highlight w:val="none"/>
        </w:rPr>
        <w:t>孔洞及封堵</w:t>
      </w:r>
      <w:bookmarkEnd w:id="678"/>
      <w:bookmarkEnd w:id="679"/>
      <w:bookmarkEnd w:id="680"/>
      <w:bookmarkEnd w:id="681"/>
      <w:bookmarkEnd w:id="682"/>
    </w:p>
    <w:p w14:paraId="234F9F9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孔洞包括一次结构孔洞、二次隔墙孔洞两种，一次结构孔洞原则上由土建施工单位负责预留，二次隔墙孔洞根据建筑专业设计要求先砌墙至2.4m高度，待设备专业管线敷设完成后再砌墙至结构顶。</w:t>
      </w:r>
    </w:p>
    <w:p w14:paraId="234F9F9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投标人应具备在最不利条件下开展工作的能力，完成孔洞的开洞工作，且不延误工期，因此发生的费用由投标人自行承担。</w:t>
      </w:r>
    </w:p>
    <w:p w14:paraId="234F9F94">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在完成本工程设备及各部件、材料等安装、敷设工作后，本工程投标人须按照消防等相关规范要求完成本工程所有孔洞的封堵工作。</w:t>
      </w:r>
    </w:p>
    <w:p w14:paraId="234F9F95">
      <w:pPr>
        <w:pStyle w:val="142"/>
        <w:numPr>
          <w:ilvl w:val="0"/>
          <w:numId w:val="50"/>
        </w:numPr>
        <w:ind w:firstLineChars="0"/>
        <w:rPr>
          <w:i w:val="0"/>
          <w:iCs w:val="0"/>
          <w:color w:val="auto"/>
          <w:sz w:val="21"/>
          <w:szCs w:val="15"/>
          <w:highlight w:val="none"/>
        </w:rPr>
      </w:pPr>
      <w:r>
        <w:rPr>
          <w:rFonts w:hint="eastAsia"/>
          <w:i w:val="0"/>
          <w:iCs w:val="0"/>
          <w:color w:val="auto"/>
          <w:sz w:val="21"/>
          <w:szCs w:val="15"/>
          <w:highlight w:val="none"/>
        </w:rPr>
        <w:t>土建和设备孔洞封堵原则：</w:t>
      </w:r>
      <w:r>
        <w:rPr>
          <w:rFonts w:hint="eastAsia"/>
          <w:i w:val="0"/>
          <w:iCs w:val="0"/>
          <w:color w:val="auto"/>
          <w:sz w:val="21"/>
          <w:szCs w:val="15"/>
          <w:highlight w:val="none"/>
          <w:lang w:val="en-US"/>
        </w:rPr>
        <w:t>本项目</w:t>
      </w:r>
      <w:r>
        <w:rPr>
          <w:rFonts w:hint="eastAsia"/>
          <w:i w:val="0"/>
          <w:iCs w:val="0"/>
          <w:color w:val="auto"/>
          <w:sz w:val="21"/>
          <w:szCs w:val="15"/>
          <w:highlight w:val="none"/>
        </w:rPr>
        <w:t>相关穿墙管孔、孔洞等封堵由投标人负责完成，封堵材料需满足消防验收部门要求。</w:t>
      </w:r>
    </w:p>
    <w:p w14:paraId="234F9F96">
      <w:pPr>
        <w:pStyle w:val="142"/>
        <w:numPr>
          <w:ilvl w:val="0"/>
          <w:numId w:val="50"/>
        </w:numPr>
        <w:ind w:firstLineChars="0"/>
        <w:rPr>
          <w:i w:val="0"/>
          <w:iCs w:val="0"/>
          <w:color w:val="auto"/>
          <w:sz w:val="21"/>
          <w:szCs w:val="15"/>
          <w:highlight w:val="none"/>
        </w:rPr>
      </w:pPr>
      <w:r>
        <w:rPr>
          <w:rFonts w:hint="eastAsia"/>
          <w:i w:val="0"/>
          <w:iCs w:val="0"/>
          <w:color w:val="auto"/>
          <w:sz w:val="21"/>
          <w:szCs w:val="15"/>
          <w:highlight w:val="none"/>
        </w:rPr>
        <w:t>因施工需要，本工程投标人自行开洞，但应经</w:t>
      </w:r>
      <w:r>
        <w:rPr>
          <w:rFonts w:hint="eastAsia"/>
          <w:i w:val="0"/>
          <w:iCs w:val="0"/>
          <w:color w:val="auto"/>
          <w:sz w:val="21"/>
          <w:szCs w:val="15"/>
          <w:highlight w:val="none"/>
          <w:lang w:val="en-US" w:eastAsia="zh-CN"/>
        </w:rPr>
        <w:t>招标人</w:t>
      </w:r>
      <w:r>
        <w:rPr>
          <w:rFonts w:hint="eastAsia"/>
          <w:i w:val="0"/>
          <w:iCs w:val="0"/>
          <w:color w:val="auto"/>
          <w:sz w:val="21"/>
          <w:szCs w:val="15"/>
          <w:highlight w:val="none"/>
        </w:rPr>
        <w:t>同意，并按照消防等相关规范要求完成孔洞的封堵工作。</w:t>
      </w:r>
    </w:p>
    <w:p w14:paraId="234F9F97">
      <w:pPr>
        <w:pStyle w:val="142"/>
        <w:numPr>
          <w:ilvl w:val="0"/>
          <w:numId w:val="50"/>
        </w:numPr>
        <w:ind w:firstLineChars="0"/>
        <w:rPr>
          <w:i w:val="0"/>
          <w:iCs w:val="0"/>
          <w:color w:val="auto"/>
          <w:sz w:val="21"/>
          <w:szCs w:val="15"/>
          <w:highlight w:val="none"/>
        </w:rPr>
      </w:pPr>
      <w:r>
        <w:rPr>
          <w:rFonts w:hint="eastAsia"/>
          <w:i w:val="0"/>
          <w:iCs w:val="0"/>
          <w:color w:val="auto"/>
          <w:sz w:val="21"/>
          <w:szCs w:val="15"/>
          <w:highlight w:val="none"/>
        </w:rPr>
        <w:t>防火封堵材料的封堵耐火极限不低于3小时，其使用年限应与电线电缆的使用年限一致（应≥20年），并提供</w:t>
      </w:r>
      <w:bookmarkStart w:id="683" w:name="OLE_LINK3"/>
      <w:r>
        <w:rPr>
          <w:rFonts w:hint="eastAsia"/>
          <w:i w:val="0"/>
          <w:iCs w:val="0"/>
          <w:color w:val="auto"/>
          <w:sz w:val="21"/>
          <w:szCs w:val="15"/>
          <w:highlight w:val="none"/>
        </w:rPr>
        <w:t>GB/T50082-</w:t>
      </w:r>
      <w:bookmarkEnd w:id="683"/>
      <w:r>
        <w:rPr>
          <w:rFonts w:hint="eastAsia"/>
          <w:i w:val="0"/>
          <w:iCs w:val="0"/>
          <w:color w:val="auto"/>
          <w:sz w:val="21"/>
          <w:szCs w:val="15"/>
          <w:highlight w:val="none"/>
        </w:rPr>
        <w:t>2024第三章或国际权威部门出具的长效认证。</w:t>
      </w:r>
    </w:p>
    <w:p w14:paraId="234F9F98">
      <w:pPr>
        <w:pStyle w:val="142"/>
        <w:numPr>
          <w:ilvl w:val="0"/>
          <w:numId w:val="50"/>
        </w:numPr>
        <w:ind w:firstLineChars="0"/>
        <w:rPr>
          <w:i w:val="0"/>
          <w:iCs w:val="0"/>
          <w:color w:val="auto"/>
          <w:sz w:val="21"/>
          <w:szCs w:val="15"/>
          <w:highlight w:val="none"/>
        </w:rPr>
      </w:pPr>
      <w:r>
        <w:rPr>
          <w:rFonts w:hint="eastAsia"/>
          <w:i w:val="0"/>
          <w:iCs w:val="0"/>
          <w:color w:val="auto"/>
          <w:sz w:val="21"/>
          <w:szCs w:val="15"/>
          <w:highlight w:val="none"/>
        </w:rPr>
        <w:t>投标人应保证所提交的合同产品为全新的，以优质材料制造、以成熟生产工艺生产的合格产品。</w:t>
      </w:r>
    </w:p>
    <w:p w14:paraId="234F9F99">
      <w:pPr>
        <w:pStyle w:val="142"/>
        <w:numPr>
          <w:ilvl w:val="0"/>
          <w:numId w:val="50"/>
        </w:numPr>
        <w:ind w:firstLineChars="0"/>
        <w:rPr>
          <w:i w:val="0"/>
          <w:iCs w:val="0"/>
          <w:color w:val="auto"/>
          <w:sz w:val="21"/>
          <w:szCs w:val="15"/>
          <w:highlight w:val="none"/>
        </w:rPr>
      </w:pPr>
      <w:r>
        <w:rPr>
          <w:rFonts w:hint="eastAsia"/>
          <w:i w:val="0"/>
          <w:iCs w:val="0"/>
          <w:color w:val="auto"/>
          <w:sz w:val="21"/>
          <w:szCs w:val="15"/>
          <w:highlight w:val="none"/>
        </w:rPr>
        <w:t>投标人应保证所提交的合同产品为按照现行国家安全行业标准判定合格的产品，产品判断标准包括但不限于：《</w:t>
      </w:r>
      <w:bookmarkStart w:id="684" w:name="OLE_LINK4"/>
      <w:r>
        <w:rPr>
          <w:rFonts w:hint="eastAsia"/>
          <w:i w:val="0"/>
          <w:iCs w:val="0"/>
          <w:color w:val="auto"/>
          <w:sz w:val="21"/>
          <w:szCs w:val="15"/>
          <w:highlight w:val="none"/>
        </w:rPr>
        <w:t>防火封堵材料</w:t>
      </w:r>
      <w:bookmarkEnd w:id="684"/>
      <w:r>
        <w:rPr>
          <w:rFonts w:hint="eastAsia"/>
          <w:i w:val="0"/>
          <w:iCs w:val="0"/>
          <w:color w:val="auto"/>
          <w:sz w:val="21"/>
          <w:szCs w:val="15"/>
          <w:highlight w:val="none"/>
        </w:rPr>
        <w:t>》GB 23864-2023，</w:t>
      </w:r>
      <w:bookmarkStart w:id="685" w:name="OLE_LINK5"/>
      <w:r>
        <w:rPr>
          <w:rFonts w:hint="eastAsia"/>
          <w:i w:val="0"/>
          <w:iCs w:val="0"/>
          <w:color w:val="auto"/>
          <w:sz w:val="21"/>
          <w:szCs w:val="15"/>
          <w:highlight w:val="none"/>
        </w:rPr>
        <w:t>防火膨胀密封件（GB16807）测试标准</w:t>
      </w:r>
      <w:bookmarkEnd w:id="685"/>
      <w:r>
        <w:rPr>
          <w:rFonts w:hint="eastAsia"/>
          <w:i w:val="0"/>
          <w:iCs w:val="0"/>
          <w:color w:val="auto"/>
          <w:sz w:val="21"/>
          <w:szCs w:val="15"/>
          <w:highlight w:val="none"/>
        </w:rPr>
        <w:t>。</w:t>
      </w:r>
    </w:p>
    <w:p w14:paraId="234F9F9A">
      <w:pPr>
        <w:pStyle w:val="142"/>
        <w:numPr>
          <w:ilvl w:val="0"/>
          <w:numId w:val="50"/>
        </w:numPr>
        <w:ind w:firstLineChars="0"/>
        <w:rPr>
          <w:i w:val="0"/>
          <w:iCs w:val="0"/>
          <w:color w:val="auto"/>
          <w:sz w:val="21"/>
          <w:szCs w:val="15"/>
          <w:highlight w:val="none"/>
        </w:rPr>
      </w:pPr>
      <w:r>
        <w:rPr>
          <w:rFonts w:hint="eastAsia"/>
          <w:i w:val="0"/>
          <w:iCs w:val="0"/>
          <w:color w:val="auto"/>
          <w:sz w:val="21"/>
          <w:szCs w:val="15"/>
          <w:highlight w:val="none"/>
        </w:rPr>
        <w:t>投标人应保证所提交的合同产品是通过国家认可检测部门进行型式试验的合格产品，并具有有效的相关报告。</w:t>
      </w:r>
    </w:p>
    <w:p w14:paraId="234F9F9B">
      <w:pPr>
        <w:pStyle w:val="142"/>
        <w:numPr>
          <w:ilvl w:val="0"/>
          <w:numId w:val="50"/>
        </w:numPr>
        <w:ind w:firstLineChars="0"/>
        <w:rPr>
          <w:i w:val="0"/>
          <w:iCs w:val="0"/>
          <w:color w:val="auto"/>
          <w:sz w:val="21"/>
          <w:szCs w:val="15"/>
          <w:highlight w:val="none"/>
        </w:rPr>
      </w:pPr>
      <w:r>
        <w:rPr>
          <w:rFonts w:hint="eastAsia"/>
          <w:i w:val="0"/>
          <w:iCs w:val="0"/>
          <w:color w:val="auto"/>
          <w:sz w:val="21"/>
          <w:szCs w:val="15"/>
          <w:highlight w:val="none"/>
        </w:rPr>
        <w:t>为了防止火灾中烟气、毒气的危害，投标人应保证所提交的合同产品为环保无卤无毒、不燃无烟的产品，并提供</w:t>
      </w:r>
      <w:bookmarkStart w:id="686" w:name="OLE_LINK7"/>
      <w:r>
        <w:rPr>
          <w:rFonts w:hint="eastAsia"/>
          <w:i w:val="0"/>
          <w:iCs w:val="0"/>
          <w:color w:val="auto"/>
          <w:sz w:val="21"/>
          <w:szCs w:val="15"/>
          <w:highlight w:val="none"/>
        </w:rPr>
        <w:t>GB/T8627</w:t>
      </w:r>
      <w:bookmarkEnd w:id="686"/>
      <w:r>
        <w:rPr>
          <w:rFonts w:hint="eastAsia"/>
          <w:i w:val="0"/>
          <w:iCs w:val="0"/>
          <w:color w:val="auto"/>
          <w:sz w:val="21"/>
          <w:szCs w:val="15"/>
          <w:highlight w:val="none"/>
        </w:rPr>
        <w:t>和</w:t>
      </w:r>
      <w:bookmarkStart w:id="687" w:name="OLE_LINK8"/>
      <w:r>
        <w:rPr>
          <w:rFonts w:hint="eastAsia"/>
          <w:i w:val="0"/>
          <w:iCs w:val="0"/>
          <w:color w:val="auto"/>
          <w:sz w:val="21"/>
          <w:szCs w:val="15"/>
          <w:highlight w:val="none"/>
        </w:rPr>
        <w:t>GB/T20285</w:t>
      </w:r>
      <w:bookmarkEnd w:id="687"/>
      <w:r>
        <w:rPr>
          <w:rFonts w:hint="eastAsia"/>
          <w:i w:val="0"/>
          <w:iCs w:val="0"/>
          <w:color w:val="auto"/>
          <w:sz w:val="21"/>
          <w:szCs w:val="15"/>
          <w:highlight w:val="none"/>
        </w:rPr>
        <w:t>或国际权威部门的认证。</w:t>
      </w:r>
    </w:p>
    <w:p w14:paraId="234F9F9C">
      <w:pPr>
        <w:pStyle w:val="142"/>
        <w:numPr>
          <w:ilvl w:val="0"/>
          <w:numId w:val="50"/>
        </w:numPr>
        <w:ind w:firstLineChars="0"/>
        <w:rPr>
          <w:i w:val="0"/>
          <w:iCs w:val="0"/>
          <w:color w:val="auto"/>
          <w:sz w:val="21"/>
          <w:szCs w:val="15"/>
          <w:highlight w:val="none"/>
        </w:rPr>
      </w:pPr>
      <w:r>
        <w:rPr>
          <w:rFonts w:hint="eastAsia"/>
          <w:i w:val="0"/>
          <w:iCs w:val="0"/>
          <w:color w:val="auto"/>
          <w:sz w:val="21"/>
          <w:szCs w:val="15"/>
          <w:highlight w:val="none"/>
        </w:rPr>
        <w:t>能适应轨道交通高潮湿、振动强烈、局部风大和有电迷流腐蚀的特色环境条件。</w:t>
      </w:r>
    </w:p>
    <w:p w14:paraId="234F9F9D">
      <w:pPr>
        <w:pStyle w:val="4"/>
        <w:rPr>
          <w:i w:val="0"/>
          <w:iCs w:val="0"/>
          <w:color w:val="auto"/>
          <w:sz w:val="24"/>
          <w:szCs w:val="21"/>
          <w:highlight w:val="none"/>
        </w:rPr>
      </w:pPr>
      <w:bookmarkStart w:id="688" w:name="_Toc181498818"/>
      <w:bookmarkStart w:id="689" w:name="_Toc201305082"/>
      <w:bookmarkStart w:id="690" w:name="_Toc30920"/>
      <w:bookmarkStart w:id="691" w:name="_Toc472432971"/>
      <w:bookmarkStart w:id="692" w:name="_Toc275340931"/>
      <w:r>
        <w:rPr>
          <w:rFonts w:hint="eastAsia"/>
          <w:i w:val="0"/>
          <w:iCs w:val="0"/>
          <w:color w:val="auto"/>
          <w:sz w:val="24"/>
          <w:szCs w:val="21"/>
          <w:highlight w:val="none"/>
        </w:rPr>
        <w:t>工程施工及调试验收</w:t>
      </w:r>
      <w:bookmarkEnd w:id="688"/>
      <w:bookmarkEnd w:id="689"/>
      <w:bookmarkEnd w:id="690"/>
      <w:bookmarkEnd w:id="691"/>
      <w:bookmarkEnd w:id="692"/>
    </w:p>
    <w:p w14:paraId="234F9F9E">
      <w:pPr>
        <w:pStyle w:val="6"/>
        <w:ind w:left="0"/>
        <w:rPr>
          <w:i w:val="0"/>
          <w:iCs w:val="0"/>
          <w:color w:val="auto"/>
          <w:sz w:val="22"/>
          <w:szCs w:val="22"/>
          <w:highlight w:val="none"/>
          <w:lang w:val="en-US"/>
        </w:rPr>
      </w:pPr>
      <w:bookmarkStart w:id="693" w:name="_Toc14723"/>
      <w:r>
        <w:rPr>
          <w:rFonts w:hint="eastAsia"/>
          <w:i w:val="0"/>
          <w:iCs w:val="0"/>
          <w:color w:val="auto"/>
          <w:sz w:val="22"/>
          <w:szCs w:val="22"/>
          <w:highlight w:val="none"/>
          <w:lang w:val="en-US"/>
        </w:rPr>
        <w:t>完工检验</w:t>
      </w:r>
      <w:bookmarkEnd w:id="693"/>
    </w:p>
    <w:p w14:paraId="234F9F9F">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在完成安装后，投标人在招标人现场代表等参与下，按照本章中标准完成所有安装设备、电缆、电线等的检查和测试。</w:t>
      </w:r>
    </w:p>
    <w:p w14:paraId="234F9FA0">
      <w:pPr>
        <w:pStyle w:val="6"/>
        <w:ind w:left="0"/>
        <w:rPr>
          <w:i w:val="0"/>
          <w:iCs w:val="0"/>
          <w:color w:val="auto"/>
          <w:sz w:val="22"/>
          <w:szCs w:val="22"/>
          <w:highlight w:val="none"/>
          <w:lang w:val="en-US"/>
        </w:rPr>
      </w:pPr>
      <w:bookmarkStart w:id="694" w:name="_Toc32319"/>
      <w:r>
        <w:rPr>
          <w:rFonts w:hint="eastAsia"/>
          <w:i w:val="0"/>
          <w:iCs w:val="0"/>
          <w:color w:val="auto"/>
          <w:sz w:val="22"/>
          <w:szCs w:val="22"/>
          <w:highlight w:val="none"/>
          <w:lang w:val="en-US"/>
        </w:rPr>
        <w:t>检查主要要求</w:t>
      </w:r>
      <w:bookmarkEnd w:id="694"/>
    </w:p>
    <w:p w14:paraId="234F9FA1">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设备外观检查：（现场检查，据图核对）</w:t>
      </w:r>
    </w:p>
    <w:p w14:paraId="234F9FA2">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机架、机柜等外设漆层完好，清洁整齐，各种设备安装位置正确，固定及接地可靠。</w:t>
      </w:r>
    </w:p>
    <w:p w14:paraId="234F9FA3">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机架（柜）内部插盘检查（现场据图核对）插盘整齐完好，安装位置正确，固定牢固。</w:t>
      </w:r>
    </w:p>
    <w:p w14:paraId="234F9FA4">
      <w:pPr>
        <w:pStyle w:val="142"/>
        <w:ind w:firstLine="420"/>
        <w:rPr>
          <w:rFonts w:hint="default"/>
          <w:i w:val="0"/>
          <w:iCs w:val="0"/>
          <w:color w:val="auto"/>
          <w:sz w:val="21"/>
          <w:szCs w:val="15"/>
          <w:highlight w:val="none"/>
          <w:lang w:val="en-US" w:eastAsia="zh-CN"/>
        </w:rPr>
      </w:pPr>
      <w:r>
        <w:rPr>
          <w:rFonts w:hint="eastAsia"/>
          <w:i w:val="0"/>
          <w:iCs w:val="0"/>
          <w:color w:val="auto"/>
          <w:sz w:val="21"/>
          <w:szCs w:val="15"/>
          <w:highlight w:val="none"/>
          <w:lang w:val="en-US" w:eastAsia="zh-CN"/>
        </w:rPr>
        <w:t>机房检查（现场观察），施工过程保持造成墙面、地面、吊顶整洁无破损，施工后进行机房恢复，无施工遗留物。</w:t>
      </w:r>
    </w:p>
    <w:p w14:paraId="234F9FA5">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机房内设备整齐，连接可靠，标志齐全清晰，绝缘接地符合要求，电缆桥架安装牢固位置正确。</w:t>
      </w:r>
    </w:p>
    <w:p w14:paraId="234F9FA6">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电缆施工质量及指标按有关标志逐项检查测试。</w:t>
      </w:r>
    </w:p>
    <w:p w14:paraId="234F9FA7">
      <w:pPr>
        <w:pStyle w:val="6"/>
        <w:ind w:left="0"/>
        <w:rPr>
          <w:i w:val="0"/>
          <w:iCs w:val="0"/>
          <w:color w:val="auto"/>
          <w:sz w:val="22"/>
          <w:szCs w:val="22"/>
          <w:highlight w:val="none"/>
          <w:lang w:val="en-US"/>
        </w:rPr>
      </w:pPr>
      <w:bookmarkStart w:id="695" w:name="_Toc26672"/>
      <w:r>
        <w:rPr>
          <w:rFonts w:hint="eastAsia"/>
          <w:i w:val="0"/>
          <w:iCs w:val="0"/>
          <w:color w:val="auto"/>
          <w:sz w:val="22"/>
          <w:szCs w:val="22"/>
          <w:highlight w:val="none"/>
          <w:lang w:val="en-US"/>
        </w:rPr>
        <w:t>调试验收</w:t>
      </w:r>
      <w:bookmarkEnd w:id="695"/>
    </w:p>
    <w:p w14:paraId="234F9FA8">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投标人除负责设备安装外，还应负责系统调试、联调等工作，并在调试、联调过程对其他系统的要求作必要的配合，及时解决调试、联调中出现的问题，以保证调试、联调成功。</w:t>
      </w:r>
    </w:p>
    <w:p w14:paraId="234F9FA9">
      <w:pPr>
        <w:pStyle w:val="3"/>
        <w:rPr>
          <w:i w:val="0"/>
          <w:iCs w:val="0"/>
          <w:color w:val="auto"/>
          <w:sz w:val="24"/>
          <w:szCs w:val="32"/>
          <w:highlight w:val="none"/>
        </w:rPr>
      </w:pPr>
      <w:bookmarkStart w:id="696" w:name="_Toc93674914"/>
      <w:bookmarkStart w:id="697" w:name="_Toc85528858"/>
      <w:bookmarkStart w:id="698" w:name="_Toc23327"/>
      <w:r>
        <w:rPr>
          <w:rFonts w:hint="eastAsia"/>
          <w:i w:val="0"/>
          <w:iCs w:val="0"/>
          <w:color w:val="auto"/>
          <w:sz w:val="24"/>
          <w:szCs w:val="32"/>
          <w:highlight w:val="none"/>
        </w:rPr>
        <w:t>偏差说明</w:t>
      </w:r>
      <w:bookmarkEnd w:id="696"/>
      <w:bookmarkEnd w:id="697"/>
      <w:bookmarkEnd w:id="698"/>
    </w:p>
    <w:p w14:paraId="234F9FAA">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要求投标书章节与招标文件一致，且完全逐条响应，所有指标以数字形式提出的均按数字形式回标。投标书分册应与招标书完全一致。</w:t>
      </w:r>
    </w:p>
    <w:p w14:paraId="234F9FAB">
      <w:pPr>
        <w:pStyle w:val="142"/>
        <w:ind w:firstLine="420"/>
        <w:rPr>
          <w:rFonts w:hint="eastAsia"/>
          <w:i w:val="0"/>
          <w:iCs w:val="0"/>
          <w:color w:val="auto"/>
          <w:sz w:val="21"/>
          <w:szCs w:val="15"/>
          <w:highlight w:val="none"/>
          <w:lang w:val="en-US" w:eastAsia="zh-CN"/>
        </w:rPr>
      </w:pPr>
      <w:r>
        <w:rPr>
          <w:rFonts w:hint="eastAsia"/>
          <w:i w:val="0"/>
          <w:iCs w:val="0"/>
          <w:color w:val="auto"/>
          <w:sz w:val="21"/>
          <w:szCs w:val="15"/>
          <w:highlight w:val="none"/>
          <w:lang w:val="en-US" w:eastAsia="zh-CN"/>
        </w:rPr>
        <w:t>投标人必须对招标文件要求逐条响应，并按要求填写偏差表。对完全响应的条目在下表“响应”列中标注“O”。对有偏离的条目在下表“响应”列中标注“×”，并填写相关偏差说明。</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
        <w:gridCol w:w="3350"/>
        <w:gridCol w:w="2110"/>
        <w:gridCol w:w="2110"/>
      </w:tblGrid>
      <w:tr w14:paraId="234F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52" w:type="dxa"/>
            <w:vAlign w:val="center"/>
          </w:tcPr>
          <w:p w14:paraId="234F9FAC">
            <w:pPr>
              <w:pStyle w:val="143"/>
              <w:bidi w:val="0"/>
              <w:rPr>
                <w:color w:val="auto"/>
                <w:sz w:val="21"/>
                <w:szCs w:val="21"/>
                <w:highlight w:val="none"/>
              </w:rPr>
            </w:pPr>
            <w:r>
              <w:rPr>
                <w:rFonts w:hint="eastAsia"/>
                <w:color w:val="auto"/>
                <w:sz w:val="21"/>
                <w:szCs w:val="21"/>
                <w:highlight w:val="none"/>
              </w:rPr>
              <w:t>序号</w:t>
            </w:r>
          </w:p>
        </w:tc>
        <w:tc>
          <w:tcPr>
            <w:tcW w:w="3350" w:type="dxa"/>
            <w:vAlign w:val="center"/>
          </w:tcPr>
          <w:p w14:paraId="234F9FAD">
            <w:pPr>
              <w:pStyle w:val="143"/>
              <w:bidi w:val="0"/>
              <w:rPr>
                <w:color w:val="auto"/>
                <w:sz w:val="21"/>
                <w:szCs w:val="21"/>
                <w:highlight w:val="none"/>
              </w:rPr>
            </w:pPr>
            <w:r>
              <w:rPr>
                <w:rFonts w:hint="eastAsia"/>
                <w:color w:val="auto"/>
                <w:sz w:val="21"/>
                <w:szCs w:val="21"/>
                <w:highlight w:val="none"/>
              </w:rPr>
              <w:t>内容</w:t>
            </w:r>
          </w:p>
        </w:tc>
        <w:tc>
          <w:tcPr>
            <w:tcW w:w="2110" w:type="dxa"/>
            <w:vAlign w:val="center"/>
          </w:tcPr>
          <w:p w14:paraId="234F9FAE">
            <w:pPr>
              <w:pStyle w:val="143"/>
              <w:bidi w:val="0"/>
              <w:rPr>
                <w:color w:val="auto"/>
                <w:sz w:val="21"/>
                <w:szCs w:val="21"/>
                <w:highlight w:val="none"/>
              </w:rPr>
            </w:pPr>
            <w:r>
              <w:rPr>
                <w:rFonts w:hint="eastAsia"/>
                <w:color w:val="auto"/>
                <w:sz w:val="21"/>
                <w:szCs w:val="21"/>
                <w:highlight w:val="none"/>
              </w:rPr>
              <w:t>响应</w:t>
            </w:r>
          </w:p>
        </w:tc>
        <w:tc>
          <w:tcPr>
            <w:tcW w:w="2110" w:type="dxa"/>
            <w:vAlign w:val="center"/>
          </w:tcPr>
          <w:p w14:paraId="234F9FAF">
            <w:pPr>
              <w:pStyle w:val="143"/>
              <w:bidi w:val="0"/>
              <w:rPr>
                <w:color w:val="auto"/>
                <w:sz w:val="21"/>
                <w:szCs w:val="21"/>
                <w:highlight w:val="none"/>
              </w:rPr>
            </w:pPr>
            <w:r>
              <w:rPr>
                <w:rFonts w:hint="eastAsia"/>
                <w:color w:val="auto"/>
                <w:sz w:val="21"/>
                <w:szCs w:val="21"/>
                <w:highlight w:val="none"/>
              </w:rPr>
              <w:t>偏差说明</w:t>
            </w:r>
          </w:p>
        </w:tc>
      </w:tr>
      <w:tr w14:paraId="234F9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vAlign w:val="center"/>
          </w:tcPr>
          <w:p w14:paraId="234F9FB1">
            <w:pPr>
              <w:pStyle w:val="143"/>
              <w:bidi w:val="0"/>
              <w:rPr>
                <w:color w:val="auto"/>
                <w:sz w:val="21"/>
                <w:szCs w:val="21"/>
                <w:highlight w:val="none"/>
              </w:rPr>
            </w:pPr>
          </w:p>
        </w:tc>
        <w:tc>
          <w:tcPr>
            <w:tcW w:w="3350" w:type="dxa"/>
            <w:vAlign w:val="center"/>
          </w:tcPr>
          <w:p w14:paraId="234F9FB2">
            <w:pPr>
              <w:pStyle w:val="143"/>
              <w:bidi w:val="0"/>
              <w:rPr>
                <w:color w:val="auto"/>
                <w:sz w:val="21"/>
                <w:szCs w:val="21"/>
                <w:highlight w:val="none"/>
              </w:rPr>
            </w:pPr>
          </w:p>
        </w:tc>
        <w:tc>
          <w:tcPr>
            <w:tcW w:w="2110" w:type="dxa"/>
            <w:vAlign w:val="center"/>
          </w:tcPr>
          <w:p w14:paraId="234F9FB3">
            <w:pPr>
              <w:pStyle w:val="143"/>
              <w:bidi w:val="0"/>
              <w:rPr>
                <w:color w:val="auto"/>
                <w:sz w:val="21"/>
                <w:szCs w:val="21"/>
                <w:highlight w:val="none"/>
              </w:rPr>
            </w:pPr>
          </w:p>
        </w:tc>
        <w:tc>
          <w:tcPr>
            <w:tcW w:w="2110" w:type="dxa"/>
            <w:vAlign w:val="center"/>
          </w:tcPr>
          <w:p w14:paraId="234F9FB4">
            <w:pPr>
              <w:pStyle w:val="143"/>
              <w:bidi w:val="0"/>
              <w:rPr>
                <w:color w:val="auto"/>
                <w:sz w:val="21"/>
                <w:szCs w:val="21"/>
                <w:highlight w:val="none"/>
              </w:rPr>
            </w:pPr>
          </w:p>
        </w:tc>
      </w:tr>
      <w:tr w14:paraId="234F9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vAlign w:val="center"/>
          </w:tcPr>
          <w:p w14:paraId="234F9FB6">
            <w:pPr>
              <w:pStyle w:val="143"/>
              <w:bidi w:val="0"/>
              <w:rPr>
                <w:color w:val="auto"/>
                <w:sz w:val="21"/>
                <w:szCs w:val="21"/>
                <w:highlight w:val="none"/>
              </w:rPr>
            </w:pPr>
          </w:p>
        </w:tc>
        <w:tc>
          <w:tcPr>
            <w:tcW w:w="3350" w:type="dxa"/>
            <w:vAlign w:val="center"/>
          </w:tcPr>
          <w:p w14:paraId="234F9FB7">
            <w:pPr>
              <w:pStyle w:val="143"/>
              <w:bidi w:val="0"/>
              <w:rPr>
                <w:color w:val="auto"/>
                <w:sz w:val="21"/>
                <w:szCs w:val="21"/>
                <w:highlight w:val="none"/>
              </w:rPr>
            </w:pPr>
          </w:p>
        </w:tc>
        <w:tc>
          <w:tcPr>
            <w:tcW w:w="2110" w:type="dxa"/>
            <w:vAlign w:val="center"/>
          </w:tcPr>
          <w:p w14:paraId="234F9FB8">
            <w:pPr>
              <w:pStyle w:val="143"/>
              <w:bidi w:val="0"/>
              <w:rPr>
                <w:color w:val="auto"/>
                <w:sz w:val="21"/>
                <w:szCs w:val="21"/>
                <w:highlight w:val="none"/>
              </w:rPr>
            </w:pPr>
          </w:p>
        </w:tc>
        <w:tc>
          <w:tcPr>
            <w:tcW w:w="2110" w:type="dxa"/>
            <w:vAlign w:val="center"/>
          </w:tcPr>
          <w:p w14:paraId="234F9FB9">
            <w:pPr>
              <w:pStyle w:val="143"/>
              <w:bidi w:val="0"/>
              <w:rPr>
                <w:color w:val="auto"/>
                <w:sz w:val="21"/>
                <w:szCs w:val="21"/>
                <w:highlight w:val="none"/>
              </w:rPr>
            </w:pPr>
          </w:p>
        </w:tc>
      </w:tr>
      <w:tr w14:paraId="234F9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vAlign w:val="center"/>
          </w:tcPr>
          <w:p w14:paraId="234F9FBB">
            <w:pPr>
              <w:pStyle w:val="143"/>
              <w:bidi w:val="0"/>
              <w:rPr>
                <w:color w:val="auto"/>
                <w:sz w:val="21"/>
                <w:szCs w:val="21"/>
                <w:highlight w:val="none"/>
              </w:rPr>
            </w:pPr>
          </w:p>
        </w:tc>
        <w:tc>
          <w:tcPr>
            <w:tcW w:w="3350" w:type="dxa"/>
            <w:vAlign w:val="center"/>
          </w:tcPr>
          <w:p w14:paraId="234F9FBC">
            <w:pPr>
              <w:pStyle w:val="143"/>
              <w:bidi w:val="0"/>
              <w:rPr>
                <w:color w:val="auto"/>
                <w:sz w:val="21"/>
                <w:szCs w:val="21"/>
                <w:highlight w:val="none"/>
              </w:rPr>
            </w:pPr>
          </w:p>
        </w:tc>
        <w:tc>
          <w:tcPr>
            <w:tcW w:w="2110" w:type="dxa"/>
            <w:vAlign w:val="center"/>
          </w:tcPr>
          <w:p w14:paraId="234F9FBD">
            <w:pPr>
              <w:pStyle w:val="143"/>
              <w:bidi w:val="0"/>
              <w:rPr>
                <w:color w:val="auto"/>
                <w:sz w:val="21"/>
                <w:szCs w:val="21"/>
                <w:highlight w:val="none"/>
              </w:rPr>
            </w:pPr>
          </w:p>
        </w:tc>
        <w:tc>
          <w:tcPr>
            <w:tcW w:w="2110" w:type="dxa"/>
            <w:vAlign w:val="center"/>
          </w:tcPr>
          <w:p w14:paraId="234F9FBE">
            <w:pPr>
              <w:pStyle w:val="143"/>
              <w:bidi w:val="0"/>
              <w:rPr>
                <w:color w:val="auto"/>
                <w:sz w:val="21"/>
                <w:szCs w:val="21"/>
                <w:highlight w:val="none"/>
              </w:rPr>
            </w:pPr>
          </w:p>
        </w:tc>
      </w:tr>
      <w:tr w14:paraId="234F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vAlign w:val="center"/>
          </w:tcPr>
          <w:p w14:paraId="234F9FC0">
            <w:pPr>
              <w:pStyle w:val="143"/>
              <w:bidi w:val="0"/>
              <w:rPr>
                <w:color w:val="auto"/>
                <w:sz w:val="21"/>
                <w:szCs w:val="21"/>
                <w:highlight w:val="none"/>
              </w:rPr>
            </w:pPr>
          </w:p>
        </w:tc>
        <w:tc>
          <w:tcPr>
            <w:tcW w:w="3350" w:type="dxa"/>
            <w:vAlign w:val="center"/>
          </w:tcPr>
          <w:p w14:paraId="234F9FC1">
            <w:pPr>
              <w:pStyle w:val="143"/>
              <w:bidi w:val="0"/>
              <w:rPr>
                <w:color w:val="auto"/>
                <w:sz w:val="21"/>
                <w:szCs w:val="21"/>
                <w:highlight w:val="none"/>
              </w:rPr>
            </w:pPr>
          </w:p>
        </w:tc>
        <w:tc>
          <w:tcPr>
            <w:tcW w:w="2110" w:type="dxa"/>
            <w:vAlign w:val="center"/>
          </w:tcPr>
          <w:p w14:paraId="234F9FC2">
            <w:pPr>
              <w:pStyle w:val="143"/>
              <w:bidi w:val="0"/>
              <w:rPr>
                <w:color w:val="auto"/>
                <w:sz w:val="21"/>
                <w:szCs w:val="21"/>
                <w:highlight w:val="none"/>
              </w:rPr>
            </w:pPr>
          </w:p>
        </w:tc>
        <w:tc>
          <w:tcPr>
            <w:tcW w:w="2110" w:type="dxa"/>
            <w:vAlign w:val="center"/>
          </w:tcPr>
          <w:p w14:paraId="234F9FC3">
            <w:pPr>
              <w:pStyle w:val="143"/>
              <w:bidi w:val="0"/>
              <w:rPr>
                <w:color w:val="auto"/>
                <w:sz w:val="21"/>
                <w:szCs w:val="21"/>
                <w:highlight w:val="none"/>
              </w:rPr>
            </w:pPr>
          </w:p>
        </w:tc>
      </w:tr>
      <w:tr w14:paraId="234F9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vAlign w:val="center"/>
          </w:tcPr>
          <w:p w14:paraId="234F9FC5">
            <w:pPr>
              <w:pStyle w:val="143"/>
              <w:bidi w:val="0"/>
              <w:rPr>
                <w:color w:val="auto"/>
                <w:sz w:val="21"/>
                <w:szCs w:val="21"/>
                <w:highlight w:val="none"/>
              </w:rPr>
            </w:pPr>
          </w:p>
        </w:tc>
        <w:tc>
          <w:tcPr>
            <w:tcW w:w="3350" w:type="dxa"/>
            <w:vAlign w:val="center"/>
          </w:tcPr>
          <w:p w14:paraId="234F9FC6">
            <w:pPr>
              <w:pStyle w:val="143"/>
              <w:bidi w:val="0"/>
              <w:rPr>
                <w:color w:val="auto"/>
                <w:sz w:val="21"/>
                <w:szCs w:val="21"/>
                <w:highlight w:val="none"/>
              </w:rPr>
            </w:pPr>
          </w:p>
        </w:tc>
        <w:tc>
          <w:tcPr>
            <w:tcW w:w="2110" w:type="dxa"/>
            <w:vAlign w:val="center"/>
          </w:tcPr>
          <w:p w14:paraId="234F9FC7">
            <w:pPr>
              <w:pStyle w:val="143"/>
              <w:bidi w:val="0"/>
              <w:rPr>
                <w:color w:val="auto"/>
                <w:sz w:val="21"/>
                <w:szCs w:val="21"/>
                <w:highlight w:val="none"/>
              </w:rPr>
            </w:pPr>
          </w:p>
        </w:tc>
        <w:tc>
          <w:tcPr>
            <w:tcW w:w="2110" w:type="dxa"/>
            <w:vAlign w:val="center"/>
          </w:tcPr>
          <w:p w14:paraId="234F9FC8">
            <w:pPr>
              <w:pStyle w:val="143"/>
              <w:bidi w:val="0"/>
              <w:rPr>
                <w:color w:val="auto"/>
                <w:sz w:val="21"/>
                <w:szCs w:val="21"/>
                <w:highlight w:val="none"/>
              </w:rPr>
            </w:pPr>
          </w:p>
        </w:tc>
      </w:tr>
    </w:tbl>
    <w:p w14:paraId="234F9FCA">
      <w:pPr>
        <w:tabs>
          <w:tab w:val="left" w:pos="0"/>
        </w:tabs>
        <w:autoSpaceDE w:val="0"/>
        <w:autoSpaceDN w:val="0"/>
        <w:adjustRightInd w:val="0"/>
        <w:spacing w:line="360" w:lineRule="auto"/>
        <w:rPr>
          <w:rFonts w:hint="eastAsia" w:ascii="宋体" w:hAnsi="宋体"/>
          <w:i w:val="0"/>
          <w:iCs w:val="0"/>
          <w:color w:val="auto"/>
          <w:sz w:val="24"/>
          <w:highlight w:val="none"/>
        </w:rPr>
      </w:pPr>
      <w:bookmarkStart w:id="699" w:name="_Toc218405877"/>
      <w:bookmarkEnd w:id="699"/>
      <w:bookmarkStart w:id="700" w:name="_Toc218405842"/>
      <w:bookmarkEnd w:id="700"/>
      <w:bookmarkStart w:id="701" w:name="_Toc218940653"/>
      <w:bookmarkEnd w:id="701"/>
      <w:bookmarkStart w:id="702" w:name="_Toc218940611"/>
      <w:bookmarkEnd w:id="702"/>
      <w:bookmarkStart w:id="703" w:name="_Toc218940604"/>
      <w:bookmarkEnd w:id="703"/>
      <w:bookmarkStart w:id="704" w:name="_Toc218940660"/>
      <w:bookmarkEnd w:id="704"/>
      <w:bookmarkStart w:id="705" w:name="_Toc218940618"/>
      <w:bookmarkEnd w:id="705"/>
      <w:bookmarkStart w:id="706" w:name="_Toc218405154"/>
      <w:bookmarkEnd w:id="706"/>
      <w:bookmarkStart w:id="707" w:name="_Toc218940675"/>
      <w:bookmarkEnd w:id="707"/>
      <w:bookmarkStart w:id="708" w:name="_Toc218405870"/>
      <w:bookmarkEnd w:id="708"/>
      <w:bookmarkStart w:id="709" w:name="_Toc218940674"/>
      <w:bookmarkEnd w:id="709"/>
      <w:bookmarkStart w:id="710" w:name="_Toc218405849"/>
      <w:bookmarkEnd w:id="710"/>
      <w:bookmarkStart w:id="711" w:name="_Toc218940667"/>
      <w:bookmarkEnd w:id="711"/>
      <w:bookmarkStart w:id="712" w:name="_Toc218940646"/>
      <w:bookmarkEnd w:id="712"/>
      <w:bookmarkStart w:id="713" w:name="_Toc218940625"/>
      <w:bookmarkEnd w:id="713"/>
      <w:bookmarkStart w:id="714" w:name="_Toc218405807"/>
      <w:bookmarkEnd w:id="714"/>
      <w:bookmarkStart w:id="715" w:name="_Toc218405863"/>
      <w:bookmarkEnd w:id="715"/>
      <w:bookmarkStart w:id="716" w:name="_Toc218939951"/>
      <w:bookmarkEnd w:id="716"/>
      <w:bookmarkStart w:id="717" w:name="_Toc218940639"/>
      <w:bookmarkEnd w:id="717"/>
      <w:bookmarkStart w:id="718" w:name="_Toc218405814"/>
      <w:bookmarkEnd w:id="718"/>
      <w:bookmarkStart w:id="719" w:name="_Toc218405878"/>
      <w:bookmarkEnd w:id="719"/>
      <w:bookmarkStart w:id="720" w:name="_Toc218405835"/>
      <w:bookmarkEnd w:id="720"/>
      <w:bookmarkStart w:id="721" w:name="_Toc218940632"/>
      <w:bookmarkEnd w:id="721"/>
      <w:bookmarkStart w:id="722" w:name="_Toc218405828"/>
      <w:bookmarkEnd w:id="722"/>
      <w:bookmarkStart w:id="723" w:name="_Toc218405821"/>
      <w:bookmarkEnd w:id="723"/>
      <w:bookmarkStart w:id="724" w:name="_Toc218405856"/>
      <w:bookmarkEnd w:id="724"/>
    </w:p>
    <w:p w14:paraId="234F9FCB">
      <w:pPr>
        <w:pStyle w:val="142"/>
        <w:ind w:firstLine="420"/>
        <w:rPr>
          <w:i w:val="0"/>
          <w:iCs w:val="0"/>
          <w:color w:val="auto"/>
          <w:sz w:val="21"/>
          <w:szCs w:val="15"/>
          <w:highlight w:val="none"/>
          <w:lang w:val="en-US"/>
        </w:rPr>
      </w:pPr>
      <w:bookmarkStart w:id="725" w:name="_GoBack"/>
      <w:bookmarkEnd w:id="725"/>
    </w:p>
    <w:sectPr>
      <w:headerReference r:id="rId7" w:type="default"/>
      <w:footerReference r:id="rId8" w:type="default"/>
      <w:pgSz w:w="11907" w:h="16839"/>
      <w:pgMar w:top="1440" w:right="1440" w:bottom="1440" w:left="1440" w:header="992" w:footer="851" w:gutter="284"/>
      <w:pgNumType w:fmt="decimal" w:start="1"/>
      <w:cols w:space="425" w:num="1"/>
      <w:docGrid w:linePitch="381" w:charSpace="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242">
      <wne:acd wne:acdName="acd9"/>
    </wne:keymap>
    <wne:keymap wne:kcmPrimary="0251">
      <wne:acd wne:acdName="acd10"/>
    </wne:keymap>
    <wne:keymap wne:kcmPrimary="0254">
      <wne:acd wne:acdName="acd11"/>
    </wne:keymap>
    <wne:keymap wne:kcmPrimary="0257">
      <wne:acd wne:acdName="acd12"/>
    </wne:keymap>
    <wne:keymap wne:kcmPrimary="02C0">
      <wne:acd wne:acdName="acd13"/>
    </wne:keymap>
  </wne:keymap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gA3aA9fIABoiDxoh2VXW/5WaIiHZVdbIAAgAGMAdAByAGwAKwBiAA==" wne:acdName="acd9" wne:fciIndexBasedOn="0065"/>
    <wne:acd wne:argValue="AgBoiDxoh2VXW/5WaIiHZVdbIAAgAGMAdAByAGwAKwBxAA==" wne:acdName="acd10" wne:fciIndexBasedOn="0065"/>
    <wne:acd wne:argValue="AQAAAD4A" wne:acdName="acd11" wne:fciIndexBasedOn="0065"/>
    <wne:acd wne:argValue="AgA3aA9fIACWmUyIKX/bjzoAIAAgADIAIABXWyZ7" wne:acdName="acd12" wne:fciIndexBasedOn="0065"/>
    <wne:acd wne:argValue="AQAAAD4A" wne:acdName="acd13"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Plotter">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等线 Light">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B Frutiger Bold">
    <w:altName w:val="Impact"/>
    <w:panose1 w:val="00000000000000000000"/>
    <w:charset w:val="00"/>
    <w:family w:val="swiss"/>
    <w:pitch w:val="default"/>
    <w:sig w:usb0="00000000" w:usb1="00000000" w:usb2="00000000" w:usb3="00000000" w:csb0="00000001" w:csb1="00000000"/>
  </w:font>
  <w:font w:name="Impact">
    <w:panose1 w:val="020B0806030902050204"/>
    <w:charset w:val="00"/>
    <w:family w:val="auto"/>
    <w:pitch w:val="default"/>
    <w:sig w:usb0="00000287" w:usb1="00000000" w:usb2="00000000" w:usb3="00000000" w:csb0="2000009F" w:csb1="DFD70000"/>
  </w:font>
  <w:font w:name="ヒラギノ角ゴ Pro W3">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F9FDB">
    <w:pPr>
      <w:pStyle w:val="55"/>
      <w:tabs>
        <w:tab w:val="right" w:pos="20696"/>
        <w:tab w:val="clear" w:pos="4153"/>
        <w:tab w:val="clear" w:pos="8306"/>
      </w:tabs>
      <w:jc w:val="center"/>
    </w:pPr>
    <w:r>
      <w:fldChar w:fldCharType="begin"/>
    </w:r>
    <w:r>
      <w:instrText xml:space="preserve"> PAGE   \* MERGEFORMAT </w:instrText>
    </w:r>
    <w:r>
      <w:fldChar w:fldCharType="separate"/>
    </w:r>
    <w:r>
      <w:rPr>
        <w:lang w:val="zh-CN"/>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F9FDD">
    <w:pPr>
      <w:pStyle w:val="55"/>
      <w:tabs>
        <w:tab w:val="right" w:pos="20696"/>
        <w:tab w:val="clear" w:pos="4153"/>
        <w:tab w:val="clear" w:pos="8306"/>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CE1B831">
                          <w:pPr>
                            <w:pStyle w:val="55"/>
                            <w:tabs>
                              <w:tab w:val="right" w:pos="20696"/>
                              <w:tab w:val="clear" w:pos="4153"/>
                              <w:tab w:val="clear" w:pos="8306"/>
                            </w:tabs>
                            <w:jc w:val="center"/>
                          </w:pPr>
                          <w:r>
                            <w:fldChar w:fldCharType="begin"/>
                          </w:r>
                          <w:r>
                            <w:instrText xml:space="preserve"> PAGE   \* MERGEFORMAT </w:instrText>
                          </w:r>
                          <w:r>
                            <w:fldChar w:fldCharType="separate"/>
                          </w:r>
                          <w:r>
                            <w:rPr>
                              <w:lang w:val="zh-CN"/>
                            </w:rP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CE1B831">
                    <w:pPr>
                      <w:pStyle w:val="55"/>
                      <w:tabs>
                        <w:tab w:val="right" w:pos="20696"/>
                        <w:tab w:val="clear" w:pos="4153"/>
                        <w:tab w:val="clear" w:pos="8306"/>
                      </w:tabs>
                      <w:jc w:val="center"/>
                    </w:pPr>
                    <w:r>
                      <w:fldChar w:fldCharType="begin"/>
                    </w:r>
                    <w:r>
                      <w:instrText xml:space="preserve"> PAGE   \* MERGEFORMAT </w:instrText>
                    </w:r>
                    <w:r>
                      <w:fldChar w:fldCharType="separate"/>
                    </w:r>
                    <w:r>
                      <w:rPr>
                        <w:lang w:val="zh-CN"/>
                      </w:rP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F9FDA">
    <w:pPr>
      <w:pStyle w:val="57"/>
      <w:pBdr>
        <w:bottom w:val="thinThickSmallGap" w:color="auto" w:sz="24" w:space="0"/>
      </w:pBdr>
      <w:tabs>
        <w:tab w:val="right" w:pos="8743"/>
        <w:tab w:val="right" w:pos="20673"/>
        <w:tab w:val="clear" w:pos="4153"/>
        <w:tab w:val="clear" w:pos="8306"/>
      </w:tabs>
    </w:pPr>
    <w:r>
      <w:rPr>
        <w:rFonts w:hint="eastAsia"/>
      </w:rPr>
      <w:t>长沙市轨道交通6号线智慧地铁建设工程（运营期）项目用户需求书</w:t>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F9FDC">
    <w:pPr>
      <w:pStyle w:val="57"/>
      <w:pBdr>
        <w:bottom w:val="thinThickSmallGap" w:color="auto" w:sz="24" w:space="0"/>
      </w:pBdr>
      <w:tabs>
        <w:tab w:val="right" w:pos="8743"/>
        <w:tab w:val="clear" w:pos="4153"/>
        <w:tab w:val="clear" w:pos="8306"/>
      </w:tabs>
    </w:pPr>
    <w:r>
      <w:rPr>
        <w:rFonts w:hint="eastAsia"/>
      </w:rPr>
      <w:t>长沙市轨道交通6号线智慧地铁建设工程（运营期）用户需求书</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A8F0D"/>
    <w:multiLevelType w:val="singleLevel"/>
    <w:tmpl w:val="96EA8F0D"/>
    <w:lvl w:ilvl="0" w:tentative="0">
      <w:start w:val="1"/>
      <w:numFmt w:val="bullet"/>
      <w:lvlText w:val=""/>
      <w:lvlJc w:val="left"/>
      <w:pPr>
        <w:ind w:left="420" w:hanging="420"/>
      </w:pPr>
      <w:rPr>
        <w:rFonts w:hint="default" w:ascii="Wingdings" w:hAnsi="Wingdings"/>
      </w:rPr>
    </w:lvl>
  </w:abstractNum>
  <w:abstractNum w:abstractNumId="1">
    <w:nsid w:val="A3FBDAA1"/>
    <w:multiLevelType w:val="singleLevel"/>
    <w:tmpl w:val="A3FBDAA1"/>
    <w:lvl w:ilvl="0" w:tentative="0">
      <w:start w:val="1"/>
      <w:numFmt w:val="bullet"/>
      <w:lvlText w:val=""/>
      <w:lvlJc w:val="left"/>
      <w:pPr>
        <w:ind w:left="420" w:hanging="420"/>
      </w:pPr>
      <w:rPr>
        <w:rFonts w:hint="default" w:ascii="Wingdings" w:hAnsi="Wingdings"/>
      </w:rPr>
    </w:lvl>
  </w:abstractNum>
  <w:abstractNum w:abstractNumId="2">
    <w:nsid w:val="B06DF082"/>
    <w:multiLevelType w:val="singleLevel"/>
    <w:tmpl w:val="B06DF082"/>
    <w:lvl w:ilvl="0" w:tentative="0">
      <w:start w:val="1"/>
      <w:numFmt w:val="bullet"/>
      <w:lvlText w:val=""/>
      <w:lvlJc w:val="left"/>
      <w:pPr>
        <w:ind w:left="420" w:hanging="420"/>
      </w:pPr>
      <w:rPr>
        <w:rFonts w:hint="default" w:ascii="Wingdings" w:hAnsi="Wingdings"/>
      </w:rPr>
    </w:lvl>
  </w:abstractNum>
  <w:abstractNum w:abstractNumId="3">
    <w:nsid w:val="BDF2FC66"/>
    <w:multiLevelType w:val="singleLevel"/>
    <w:tmpl w:val="BDF2FC66"/>
    <w:lvl w:ilvl="0" w:tentative="0">
      <w:start w:val="1"/>
      <w:numFmt w:val="bullet"/>
      <w:lvlText w:val=""/>
      <w:lvlJc w:val="left"/>
      <w:pPr>
        <w:ind w:left="420" w:hanging="420"/>
      </w:pPr>
      <w:rPr>
        <w:rFonts w:hint="default" w:ascii="Wingdings" w:hAnsi="Wingdings"/>
      </w:rPr>
    </w:lvl>
  </w:abstractNum>
  <w:abstractNum w:abstractNumId="4">
    <w:nsid w:val="C5A0B7BC"/>
    <w:multiLevelType w:val="singleLevel"/>
    <w:tmpl w:val="C5A0B7BC"/>
    <w:lvl w:ilvl="0" w:tentative="0">
      <w:start w:val="1"/>
      <w:numFmt w:val="bullet"/>
      <w:lvlText w:val=""/>
      <w:lvlJc w:val="left"/>
      <w:pPr>
        <w:ind w:left="420" w:hanging="420"/>
      </w:pPr>
      <w:rPr>
        <w:rFonts w:hint="default" w:ascii="Wingdings" w:hAnsi="Wingdings"/>
      </w:rPr>
    </w:lvl>
  </w:abstractNum>
  <w:abstractNum w:abstractNumId="5">
    <w:nsid w:val="D6BB8D0E"/>
    <w:multiLevelType w:val="singleLevel"/>
    <w:tmpl w:val="D6BB8D0E"/>
    <w:lvl w:ilvl="0" w:tentative="0">
      <w:start w:val="1"/>
      <w:numFmt w:val="bullet"/>
      <w:lvlText w:val=""/>
      <w:lvlJc w:val="left"/>
      <w:pPr>
        <w:ind w:left="420" w:hanging="420"/>
      </w:pPr>
      <w:rPr>
        <w:rFonts w:hint="default" w:ascii="Wingdings" w:hAnsi="Wingdings"/>
      </w:rPr>
    </w:lvl>
  </w:abstractNum>
  <w:abstractNum w:abstractNumId="6">
    <w:nsid w:val="E51319B6"/>
    <w:multiLevelType w:val="singleLevel"/>
    <w:tmpl w:val="E51319B6"/>
    <w:lvl w:ilvl="0" w:tentative="0">
      <w:start w:val="1"/>
      <w:numFmt w:val="bullet"/>
      <w:lvlText w:val=""/>
      <w:lvlJc w:val="left"/>
      <w:pPr>
        <w:ind w:left="420" w:hanging="420"/>
      </w:pPr>
      <w:rPr>
        <w:rFonts w:hint="default" w:ascii="Wingdings" w:hAnsi="Wingdings"/>
      </w:rPr>
    </w:lvl>
  </w:abstractNum>
  <w:abstractNum w:abstractNumId="7">
    <w:nsid w:val="F8DAF539"/>
    <w:multiLevelType w:val="singleLevel"/>
    <w:tmpl w:val="F8DAF539"/>
    <w:lvl w:ilvl="0" w:tentative="0">
      <w:start w:val="1"/>
      <w:numFmt w:val="bullet"/>
      <w:lvlText w:val=""/>
      <w:lvlJc w:val="left"/>
      <w:pPr>
        <w:ind w:left="420" w:hanging="420"/>
      </w:pPr>
      <w:rPr>
        <w:rFonts w:hint="default" w:ascii="Wingdings" w:hAnsi="Wingdings"/>
      </w:rPr>
    </w:lvl>
  </w:abstractNum>
  <w:abstractNum w:abstractNumId="8">
    <w:nsid w:val="038F37FE"/>
    <w:multiLevelType w:val="multilevel"/>
    <w:tmpl w:val="038F37FE"/>
    <w:lvl w:ilvl="0" w:tentative="0">
      <w:start w:val="1"/>
      <w:numFmt w:val="decimal"/>
      <w:pStyle w:val="358"/>
      <w:suff w:val="space"/>
      <w:lvlText w:val="%1."/>
      <w:lvlJc w:val="left"/>
      <w:pPr>
        <w:ind w:left="0" w:firstLine="0"/>
      </w:pPr>
      <w:rPr>
        <w:rFonts w:hint="eastAsia" w:ascii="黑体" w:eastAsia="黑体"/>
        <w:b/>
        <w:i w:val="0"/>
        <w:sz w:val="28"/>
      </w:rPr>
    </w:lvl>
    <w:lvl w:ilvl="1" w:tentative="0">
      <w:start w:val="1"/>
      <w:numFmt w:val="decimal"/>
      <w:suff w:val="space"/>
      <w:lvlText w:val="%1.%2."/>
      <w:lvlJc w:val="left"/>
      <w:pPr>
        <w:ind w:left="0" w:firstLine="0"/>
      </w:pPr>
      <w:rPr>
        <w:rFonts w:hint="eastAsia" w:ascii="宋体" w:eastAsia="宋体"/>
        <w:b/>
        <w:i w:val="0"/>
        <w:sz w:val="24"/>
      </w:rPr>
    </w:lvl>
    <w:lvl w:ilvl="2" w:tentative="0">
      <w:start w:val="1"/>
      <w:numFmt w:val="decimal"/>
      <w:suff w:val="space"/>
      <w:lvlText w:val="%1.%2.%3."/>
      <w:lvlJc w:val="left"/>
      <w:pPr>
        <w:ind w:left="0" w:firstLine="0"/>
      </w:pPr>
      <w:rPr>
        <w:rFonts w:hint="eastAsia" w:ascii="宋体" w:eastAsia="宋体"/>
        <w:b/>
        <w:i w:val="0"/>
        <w:sz w:val="21"/>
      </w:rPr>
    </w:lvl>
    <w:lvl w:ilvl="3" w:tentative="0">
      <w:start w:val="1"/>
      <w:numFmt w:val="decimal"/>
      <w:suff w:val="space"/>
      <w:lvlText w:val="（%4）"/>
      <w:lvlJc w:val="left"/>
      <w:pPr>
        <w:ind w:left="0" w:firstLine="0"/>
      </w:pPr>
      <w:rPr>
        <w:rFonts w:hint="eastAsia" w:ascii="宋体" w:eastAsia="宋体"/>
        <w:b w:val="0"/>
        <w:i w:val="0"/>
        <w:sz w:val="28"/>
      </w:rPr>
    </w:lvl>
    <w:lvl w:ilvl="4" w:tentative="0">
      <w:start w:val="1"/>
      <w:numFmt w:val="decimal"/>
      <w:suff w:val="nothing"/>
      <w:lvlText w:val="%5）"/>
      <w:lvlJc w:val="left"/>
      <w:pPr>
        <w:ind w:left="0" w:firstLine="0"/>
      </w:pPr>
      <w:rPr>
        <w:rFonts w:hint="eastAsia" w:ascii="宋体" w:eastAsia="宋体"/>
        <w:b w:val="0"/>
        <w:i w:val="0"/>
        <w:sz w:val="28"/>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9">
    <w:nsid w:val="0643643F"/>
    <w:multiLevelType w:val="multilevel"/>
    <w:tmpl w:val="0643643F"/>
    <w:lvl w:ilvl="0" w:tentative="0">
      <w:start w:val="1"/>
      <w:numFmt w:val="bullet"/>
      <w:pStyle w:val="535"/>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0ABE565F"/>
    <w:multiLevelType w:val="singleLevel"/>
    <w:tmpl w:val="0ABE565F"/>
    <w:lvl w:ilvl="0" w:tentative="0">
      <w:start w:val="1"/>
      <w:numFmt w:val="bullet"/>
      <w:lvlText w:val=""/>
      <w:lvlJc w:val="left"/>
      <w:pPr>
        <w:ind w:left="420" w:hanging="420"/>
      </w:pPr>
      <w:rPr>
        <w:rFonts w:hint="default" w:ascii="Wingdings" w:hAnsi="Wingdings"/>
      </w:rPr>
    </w:lvl>
  </w:abstractNum>
  <w:abstractNum w:abstractNumId="11">
    <w:nsid w:val="0BE0BE27"/>
    <w:multiLevelType w:val="singleLevel"/>
    <w:tmpl w:val="0BE0BE27"/>
    <w:lvl w:ilvl="0" w:tentative="0">
      <w:start w:val="1"/>
      <w:numFmt w:val="bullet"/>
      <w:lvlText w:val=""/>
      <w:lvlJc w:val="left"/>
      <w:pPr>
        <w:ind w:left="420" w:hanging="420"/>
      </w:pPr>
      <w:rPr>
        <w:rFonts w:hint="default" w:ascii="Wingdings" w:hAnsi="Wingdings"/>
      </w:rPr>
    </w:lvl>
  </w:abstractNum>
  <w:abstractNum w:abstractNumId="12">
    <w:nsid w:val="1075C3BB"/>
    <w:multiLevelType w:val="singleLevel"/>
    <w:tmpl w:val="1075C3BB"/>
    <w:lvl w:ilvl="0" w:tentative="0">
      <w:start w:val="1"/>
      <w:numFmt w:val="bullet"/>
      <w:lvlText w:val=""/>
      <w:lvlJc w:val="left"/>
      <w:pPr>
        <w:ind w:left="420" w:hanging="420"/>
      </w:pPr>
      <w:rPr>
        <w:rFonts w:hint="default" w:ascii="Wingdings" w:hAnsi="Wingdings"/>
      </w:rPr>
    </w:lvl>
  </w:abstractNum>
  <w:abstractNum w:abstractNumId="13">
    <w:nsid w:val="13A71790"/>
    <w:multiLevelType w:val="multilevel"/>
    <w:tmpl w:val="13A71790"/>
    <w:lvl w:ilvl="0" w:tentative="0">
      <w:start w:val="1"/>
      <w:numFmt w:val="bullet"/>
      <w:pStyle w:val="238"/>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4">
    <w:nsid w:val="1C727F56"/>
    <w:multiLevelType w:val="multilevel"/>
    <w:tmpl w:val="1C727F56"/>
    <w:lvl w:ilvl="0" w:tentative="0">
      <w:start w:val="4"/>
      <w:numFmt w:val="decimal"/>
      <w:pStyle w:val="331"/>
      <w:lvlText w:val="%1"/>
      <w:lvlJc w:val="left"/>
      <w:pPr>
        <w:tabs>
          <w:tab w:val="left" w:pos="425"/>
        </w:tabs>
        <w:ind w:left="425" w:hanging="425"/>
      </w:pPr>
    </w:lvl>
    <w:lvl w:ilvl="1" w:tentative="0">
      <w:start w:val="1"/>
      <w:numFmt w:val="decimal"/>
      <w:pStyle w:val="335"/>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1D5755D3"/>
    <w:multiLevelType w:val="multilevel"/>
    <w:tmpl w:val="1D5755D3"/>
    <w:lvl w:ilvl="0" w:tentative="0">
      <w:start w:val="1"/>
      <w:numFmt w:val="bullet"/>
      <w:lvlText w:val=""/>
      <w:lvlJc w:val="left"/>
      <w:pPr>
        <w:tabs>
          <w:tab w:val="left" w:pos="2126"/>
        </w:tabs>
        <w:ind w:left="2126" w:hanging="425"/>
      </w:pPr>
      <w:rPr>
        <w:rFonts w:hint="default" w:ascii="Wingdings" w:hAnsi="Wingdings" w:cs="Wingdings"/>
        <w:b w:val="0"/>
        <w:bCs w:val="0"/>
        <w:i w:val="0"/>
        <w:iCs w:val="0"/>
        <w:caps w:val="0"/>
        <w:strike w:val="0"/>
        <w:dstrike w:val="0"/>
        <w:vanish w:val="0"/>
        <w:color w:val="000000"/>
        <w:spacing w:val="0"/>
        <w:w w:val="100"/>
        <w:position w:val="2"/>
        <w:sz w:val="16"/>
        <w:szCs w:val="16"/>
        <w:vertAlign w:val="baselin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pStyle w:val="394"/>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1DD36F9C"/>
    <w:multiLevelType w:val="multilevel"/>
    <w:tmpl w:val="1DD36F9C"/>
    <w:lvl w:ilvl="0" w:tentative="0">
      <w:start w:val="1"/>
      <w:numFmt w:val="decimal"/>
      <w:pStyle w:val="419"/>
      <w:lvlText w:val="%1)"/>
      <w:lvlJc w:val="left"/>
      <w:pPr>
        <w:tabs>
          <w:tab w:val="left" w:pos="620"/>
        </w:tabs>
        <w:ind w:left="620" w:hanging="420"/>
      </w:pPr>
      <w:rPr>
        <w:rFonts w:hint="default"/>
      </w:rPr>
    </w:lvl>
    <w:lvl w:ilvl="1" w:tentative="0">
      <w:start w:val="1"/>
      <w:numFmt w:val="bullet"/>
      <w:lvlText w:val=""/>
      <w:lvlJc w:val="left"/>
      <w:pPr>
        <w:tabs>
          <w:tab w:val="left" w:pos="1040"/>
        </w:tabs>
        <w:ind w:left="1040" w:hanging="420"/>
      </w:pPr>
      <w:rPr>
        <w:rFonts w:hint="default" w:ascii="Wingdings" w:hAnsi="Wingdings"/>
      </w:rPr>
    </w:lvl>
    <w:lvl w:ilvl="2" w:tentative="0">
      <w:start w:val="1"/>
      <w:numFmt w:val="bullet"/>
      <w:lvlText w:val=""/>
      <w:lvlJc w:val="left"/>
      <w:pPr>
        <w:tabs>
          <w:tab w:val="left" w:pos="1460"/>
        </w:tabs>
        <w:ind w:left="1460" w:hanging="420"/>
      </w:pPr>
      <w:rPr>
        <w:rFonts w:hint="default" w:ascii="Wingdings" w:hAnsi="Wingdings"/>
      </w:rPr>
    </w:lvl>
    <w:lvl w:ilvl="3" w:tentative="0">
      <w:start w:val="1"/>
      <w:numFmt w:val="bullet"/>
      <w:lvlText w:val=""/>
      <w:lvlJc w:val="left"/>
      <w:pPr>
        <w:tabs>
          <w:tab w:val="left" w:pos="1880"/>
        </w:tabs>
        <w:ind w:left="1880" w:hanging="420"/>
      </w:pPr>
      <w:rPr>
        <w:rFonts w:hint="default" w:ascii="Wingdings" w:hAnsi="Wingdings"/>
      </w:rPr>
    </w:lvl>
    <w:lvl w:ilvl="4" w:tentative="0">
      <w:start w:val="1"/>
      <w:numFmt w:val="bullet"/>
      <w:lvlText w:val=""/>
      <w:lvlJc w:val="left"/>
      <w:pPr>
        <w:tabs>
          <w:tab w:val="left" w:pos="2300"/>
        </w:tabs>
        <w:ind w:left="2300" w:hanging="420"/>
      </w:pPr>
      <w:rPr>
        <w:rFonts w:hint="default" w:ascii="Wingdings" w:hAnsi="Wingdings"/>
      </w:rPr>
    </w:lvl>
    <w:lvl w:ilvl="5" w:tentative="0">
      <w:start w:val="1"/>
      <w:numFmt w:val="bullet"/>
      <w:lvlText w:val=""/>
      <w:lvlJc w:val="left"/>
      <w:pPr>
        <w:tabs>
          <w:tab w:val="left" w:pos="2720"/>
        </w:tabs>
        <w:ind w:left="2720" w:hanging="420"/>
      </w:pPr>
      <w:rPr>
        <w:rFonts w:hint="default" w:ascii="Wingdings" w:hAnsi="Wingdings"/>
      </w:rPr>
    </w:lvl>
    <w:lvl w:ilvl="6" w:tentative="0">
      <w:start w:val="1"/>
      <w:numFmt w:val="bullet"/>
      <w:lvlText w:val=""/>
      <w:lvlJc w:val="left"/>
      <w:pPr>
        <w:tabs>
          <w:tab w:val="left" w:pos="3140"/>
        </w:tabs>
        <w:ind w:left="3140" w:hanging="420"/>
      </w:pPr>
      <w:rPr>
        <w:rFonts w:hint="default" w:ascii="Wingdings" w:hAnsi="Wingdings"/>
      </w:rPr>
    </w:lvl>
    <w:lvl w:ilvl="7" w:tentative="0">
      <w:start w:val="1"/>
      <w:numFmt w:val="bullet"/>
      <w:lvlText w:val=""/>
      <w:lvlJc w:val="left"/>
      <w:pPr>
        <w:tabs>
          <w:tab w:val="left" w:pos="3560"/>
        </w:tabs>
        <w:ind w:left="3560" w:hanging="420"/>
      </w:pPr>
      <w:rPr>
        <w:rFonts w:hint="default" w:ascii="Wingdings" w:hAnsi="Wingdings"/>
      </w:rPr>
    </w:lvl>
    <w:lvl w:ilvl="8" w:tentative="0">
      <w:start w:val="1"/>
      <w:numFmt w:val="bullet"/>
      <w:lvlText w:val=""/>
      <w:lvlJc w:val="left"/>
      <w:pPr>
        <w:tabs>
          <w:tab w:val="left" w:pos="3980"/>
        </w:tabs>
        <w:ind w:left="3980" w:hanging="420"/>
      </w:pPr>
      <w:rPr>
        <w:rFonts w:hint="default" w:ascii="Wingdings" w:hAnsi="Wingdings"/>
      </w:rPr>
    </w:lvl>
  </w:abstractNum>
  <w:abstractNum w:abstractNumId="17">
    <w:nsid w:val="1F385935"/>
    <w:multiLevelType w:val="multilevel"/>
    <w:tmpl w:val="1F385935"/>
    <w:lvl w:ilvl="0" w:tentative="0">
      <w:start w:val="1"/>
      <w:numFmt w:val="bullet"/>
      <w:pStyle w:val="446"/>
      <w:lvlText w:val=""/>
      <w:lvlJc w:val="left"/>
      <w:pPr>
        <w:tabs>
          <w:tab w:val="left" w:pos="2896"/>
        </w:tabs>
        <w:ind w:left="2896" w:hanging="420"/>
      </w:pPr>
      <w:rPr>
        <w:rFonts w:hint="default" w:ascii="Wingdings" w:hAnsi="Wingdings"/>
      </w:rPr>
    </w:lvl>
    <w:lvl w:ilvl="1" w:tentative="0">
      <w:start w:val="1"/>
      <w:numFmt w:val="bullet"/>
      <w:lvlText w:val=""/>
      <w:lvlJc w:val="left"/>
      <w:pPr>
        <w:tabs>
          <w:tab w:val="left" w:pos="3316"/>
        </w:tabs>
        <w:ind w:left="3316" w:hanging="420"/>
      </w:pPr>
      <w:rPr>
        <w:rFonts w:hint="default" w:ascii="Wingdings" w:hAnsi="Wingdings"/>
      </w:rPr>
    </w:lvl>
    <w:lvl w:ilvl="2" w:tentative="0">
      <w:start w:val="1"/>
      <w:numFmt w:val="bullet"/>
      <w:lvlText w:val=""/>
      <w:lvlJc w:val="left"/>
      <w:pPr>
        <w:tabs>
          <w:tab w:val="left" w:pos="3736"/>
        </w:tabs>
        <w:ind w:left="3736" w:hanging="420"/>
      </w:pPr>
      <w:rPr>
        <w:rFonts w:hint="default" w:ascii="Wingdings" w:hAnsi="Wingdings"/>
      </w:rPr>
    </w:lvl>
    <w:lvl w:ilvl="3" w:tentative="0">
      <w:start w:val="1"/>
      <w:numFmt w:val="bullet"/>
      <w:lvlText w:val=""/>
      <w:lvlJc w:val="left"/>
      <w:pPr>
        <w:tabs>
          <w:tab w:val="left" w:pos="4156"/>
        </w:tabs>
        <w:ind w:left="4156" w:hanging="420"/>
      </w:pPr>
      <w:rPr>
        <w:rFonts w:hint="default" w:ascii="Wingdings" w:hAnsi="Wingdings"/>
      </w:rPr>
    </w:lvl>
    <w:lvl w:ilvl="4" w:tentative="0">
      <w:start w:val="1"/>
      <w:numFmt w:val="bullet"/>
      <w:lvlText w:val=""/>
      <w:lvlJc w:val="left"/>
      <w:pPr>
        <w:tabs>
          <w:tab w:val="left" w:pos="4576"/>
        </w:tabs>
        <w:ind w:left="4576" w:hanging="420"/>
      </w:pPr>
      <w:rPr>
        <w:rFonts w:hint="default" w:ascii="Wingdings" w:hAnsi="Wingdings"/>
      </w:rPr>
    </w:lvl>
    <w:lvl w:ilvl="5" w:tentative="0">
      <w:start w:val="1"/>
      <w:numFmt w:val="bullet"/>
      <w:lvlText w:val=""/>
      <w:lvlJc w:val="left"/>
      <w:pPr>
        <w:tabs>
          <w:tab w:val="left" w:pos="4996"/>
        </w:tabs>
        <w:ind w:left="4996" w:hanging="420"/>
      </w:pPr>
      <w:rPr>
        <w:rFonts w:hint="default" w:ascii="Wingdings" w:hAnsi="Wingdings"/>
      </w:rPr>
    </w:lvl>
    <w:lvl w:ilvl="6" w:tentative="0">
      <w:start w:val="1"/>
      <w:numFmt w:val="bullet"/>
      <w:lvlText w:val=""/>
      <w:lvlJc w:val="left"/>
      <w:pPr>
        <w:tabs>
          <w:tab w:val="left" w:pos="5416"/>
        </w:tabs>
        <w:ind w:left="5416" w:hanging="420"/>
      </w:pPr>
      <w:rPr>
        <w:rFonts w:hint="default" w:ascii="Wingdings" w:hAnsi="Wingdings"/>
      </w:rPr>
    </w:lvl>
    <w:lvl w:ilvl="7" w:tentative="0">
      <w:start w:val="1"/>
      <w:numFmt w:val="bullet"/>
      <w:lvlText w:val=""/>
      <w:lvlJc w:val="left"/>
      <w:pPr>
        <w:tabs>
          <w:tab w:val="left" w:pos="5836"/>
        </w:tabs>
        <w:ind w:left="5836" w:hanging="420"/>
      </w:pPr>
      <w:rPr>
        <w:rFonts w:hint="default" w:ascii="Wingdings" w:hAnsi="Wingdings"/>
      </w:rPr>
    </w:lvl>
    <w:lvl w:ilvl="8" w:tentative="0">
      <w:start w:val="1"/>
      <w:numFmt w:val="bullet"/>
      <w:lvlText w:val=""/>
      <w:lvlJc w:val="left"/>
      <w:pPr>
        <w:tabs>
          <w:tab w:val="left" w:pos="6256"/>
        </w:tabs>
        <w:ind w:left="6256" w:hanging="420"/>
      </w:pPr>
      <w:rPr>
        <w:rFonts w:hint="default" w:ascii="Wingdings" w:hAnsi="Wingdings"/>
      </w:rPr>
    </w:lvl>
  </w:abstractNum>
  <w:abstractNum w:abstractNumId="18">
    <w:nsid w:val="20EA8497"/>
    <w:multiLevelType w:val="singleLevel"/>
    <w:tmpl w:val="20EA8497"/>
    <w:lvl w:ilvl="0" w:tentative="0">
      <w:start w:val="1"/>
      <w:numFmt w:val="bullet"/>
      <w:lvlText w:val=""/>
      <w:lvlJc w:val="left"/>
      <w:pPr>
        <w:ind w:left="420" w:hanging="420"/>
      </w:pPr>
      <w:rPr>
        <w:rFonts w:hint="default" w:ascii="Wingdings" w:hAnsi="Wingdings"/>
      </w:rPr>
    </w:lvl>
  </w:abstractNum>
  <w:abstractNum w:abstractNumId="19">
    <w:nsid w:val="24CEA86C"/>
    <w:multiLevelType w:val="singleLevel"/>
    <w:tmpl w:val="24CEA86C"/>
    <w:lvl w:ilvl="0" w:tentative="0">
      <w:start w:val="1"/>
      <w:numFmt w:val="bullet"/>
      <w:lvlText w:val=""/>
      <w:lvlJc w:val="left"/>
      <w:pPr>
        <w:ind w:left="420" w:hanging="420"/>
      </w:pPr>
      <w:rPr>
        <w:rFonts w:hint="default" w:ascii="Wingdings" w:hAnsi="Wingdings"/>
      </w:rPr>
    </w:lvl>
  </w:abstractNum>
  <w:abstractNum w:abstractNumId="20">
    <w:nsid w:val="2718BC03"/>
    <w:multiLevelType w:val="singleLevel"/>
    <w:tmpl w:val="2718BC03"/>
    <w:lvl w:ilvl="0" w:tentative="0">
      <w:start w:val="1"/>
      <w:numFmt w:val="decimal"/>
      <w:pStyle w:val="509"/>
      <w:lvlText w:val="%1."/>
      <w:lvlJc w:val="left"/>
      <w:pPr>
        <w:ind w:left="425" w:hanging="425"/>
      </w:pPr>
      <w:rPr>
        <w:rFonts w:hint="default"/>
      </w:rPr>
    </w:lvl>
  </w:abstractNum>
  <w:abstractNum w:abstractNumId="21">
    <w:nsid w:val="27592A9F"/>
    <w:multiLevelType w:val="multilevel"/>
    <w:tmpl w:val="27592A9F"/>
    <w:lvl w:ilvl="0" w:tentative="0">
      <w:start w:val="1"/>
      <w:numFmt w:val="decimal"/>
      <w:pStyle w:val="431"/>
      <w:isLgl/>
      <w:suff w:val="space"/>
      <w:lvlText w:val="%1"/>
      <w:lvlJc w:val="left"/>
      <w:pPr>
        <w:ind w:left="0" w:firstLine="0"/>
      </w:pPr>
      <w:rPr>
        <w:rFonts w:hint="eastAsia" w:ascii="宋体" w:eastAsia="宋体"/>
        <w:b/>
        <w:i w:val="0"/>
        <w:sz w:val="28"/>
        <w:szCs w:val="28"/>
      </w:rPr>
    </w:lvl>
    <w:lvl w:ilvl="1" w:tentative="0">
      <w:start w:val="1"/>
      <w:numFmt w:val="decimal"/>
      <w:suff w:val="space"/>
      <w:lvlText w:val="%1.%2"/>
      <w:lvlJc w:val="left"/>
      <w:pPr>
        <w:ind w:left="0" w:firstLine="0"/>
      </w:pPr>
      <w:rPr>
        <w:rFonts w:hint="eastAsia" w:ascii="宋体" w:eastAsia="宋体"/>
        <w:b w:val="0"/>
        <w:i w:val="0"/>
        <w:sz w:val="24"/>
        <w:szCs w:val="24"/>
      </w:rPr>
    </w:lvl>
    <w:lvl w:ilvl="2" w:tentative="0">
      <w:start w:val="1"/>
      <w:numFmt w:val="decimal"/>
      <w:suff w:val="space"/>
      <w:lvlText w:val="%1.%2.%3"/>
      <w:lvlJc w:val="left"/>
      <w:pPr>
        <w:ind w:left="0" w:firstLine="0"/>
      </w:pPr>
      <w:rPr>
        <w:rFonts w:hint="eastAsia" w:ascii="宋体" w:eastAsia="宋体"/>
        <w:b w:val="0"/>
        <w:i w:val="0"/>
        <w:sz w:val="24"/>
        <w:szCs w:val="24"/>
      </w:rPr>
    </w:lvl>
    <w:lvl w:ilvl="3" w:tentative="0">
      <w:start w:val="1"/>
      <w:numFmt w:val="decimal"/>
      <w:lvlText w:val="%1.%2.%3.%4"/>
      <w:lvlJc w:val="left"/>
      <w:pPr>
        <w:tabs>
          <w:tab w:val="left" w:pos="720"/>
        </w:tabs>
        <w:ind w:left="0" w:firstLine="0"/>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2">
    <w:nsid w:val="28BB538C"/>
    <w:multiLevelType w:val="multilevel"/>
    <w:tmpl w:val="28BB538C"/>
    <w:lvl w:ilvl="0" w:tentative="0">
      <w:start w:val="1"/>
      <w:numFmt w:val="none"/>
      <w:pStyle w:val="373"/>
      <w:suff w:val="space"/>
      <w:lvlText w:val=""/>
      <w:lvlJc w:val="left"/>
      <w:pPr>
        <w:ind w:left="0" w:firstLine="0"/>
      </w:pPr>
      <w:rPr>
        <w:rFonts w:hint="eastAsia"/>
      </w:rPr>
    </w:lvl>
    <w:lvl w:ilvl="1" w:tentative="0">
      <w:start w:val="1"/>
      <w:numFmt w:val="decimal"/>
      <w:suff w:val="space"/>
      <w:lvlText w:val="第%2章 "/>
      <w:lvlJc w:val="left"/>
      <w:pPr>
        <w:ind w:left="200" w:firstLine="0"/>
      </w:pPr>
      <w:rPr>
        <w:rFonts w:hint="eastAsia" w:ascii="宋体" w:eastAsia="宋体"/>
        <w:b/>
        <w:i w:val="0"/>
        <w:spacing w:val="10"/>
        <w:w w:val="95"/>
        <w:position w:val="0"/>
        <w:sz w:val="28"/>
      </w:rPr>
    </w:lvl>
    <w:lvl w:ilvl="2" w:tentative="0">
      <w:start w:val="1"/>
      <w:numFmt w:val="decimal"/>
      <w:suff w:val="space"/>
      <w:lvlText w:val="%2.%3 "/>
      <w:lvlJc w:val="left"/>
      <w:pPr>
        <w:ind w:left="200" w:firstLine="0"/>
      </w:pPr>
      <w:rPr>
        <w:rFonts w:hint="eastAsia" w:ascii="宋体" w:eastAsia="宋体"/>
        <w:b/>
        <w:i w:val="0"/>
        <w:spacing w:val="10"/>
        <w:w w:val="95"/>
        <w:position w:val="0"/>
        <w:sz w:val="24"/>
      </w:rPr>
    </w:lvl>
    <w:lvl w:ilvl="3" w:tentative="0">
      <w:start w:val="1"/>
      <w:numFmt w:val="decimal"/>
      <w:suff w:val="space"/>
      <w:lvlText w:val="%2.%3.%4 "/>
      <w:lvlJc w:val="left"/>
      <w:pPr>
        <w:ind w:left="200" w:firstLine="0"/>
      </w:pPr>
      <w:rPr>
        <w:rFonts w:hint="eastAsia" w:ascii="宋体" w:eastAsia="宋体"/>
        <w:b/>
        <w:i w:val="0"/>
        <w:spacing w:val="10"/>
        <w:w w:val="95"/>
        <w:position w:val="0"/>
        <w:sz w:val="21"/>
      </w:rPr>
    </w:lvl>
    <w:lvl w:ilvl="4" w:tentative="0">
      <w:start w:val="1"/>
      <w:numFmt w:val="decimal"/>
      <w:suff w:val="space"/>
      <w:lvlText w:val="%2.%3.%4.%5 "/>
      <w:lvlJc w:val="left"/>
      <w:pPr>
        <w:ind w:left="200" w:firstLine="0"/>
      </w:pPr>
      <w:rPr>
        <w:rFonts w:hint="eastAsia" w:ascii="宋体" w:eastAsia="宋体"/>
        <w:b/>
        <w:i w:val="0"/>
        <w:spacing w:val="6"/>
        <w:w w:val="95"/>
        <w:position w:val="0"/>
        <w:sz w:val="21"/>
      </w:rPr>
    </w:lvl>
    <w:lvl w:ilvl="5" w:tentative="0">
      <w:start w:val="1"/>
      <w:numFmt w:val="decimal"/>
      <w:suff w:val="space"/>
      <w:lvlText w:val="%6)"/>
      <w:lvlJc w:val="left"/>
      <w:pPr>
        <w:ind w:left="0" w:firstLine="0"/>
      </w:pPr>
      <w:rPr>
        <w:rFonts w:hint="eastAsia" w:ascii="宋体" w:eastAsia="宋体"/>
        <w:b w:val="0"/>
        <w:i w:val="0"/>
        <w:spacing w:val="6"/>
        <w:w w:val="95"/>
        <w:position w:val="0"/>
        <w:sz w:val="21"/>
      </w:rPr>
    </w:lvl>
    <w:lvl w:ilvl="6" w:tentative="0">
      <w:start w:val="1"/>
      <w:numFmt w:val="upperLetter"/>
      <w:suff w:val="space"/>
      <w:lvlText w:val="%7)"/>
      <w:lvlJc w:val="left"/>
      <w:pPr>
        <w:ind w:left="0" w:firstLine="0"/>
      </w:pPr>
      <w:rPr>
        <w:rFonts w:hint="eastAsia" w:ascii="宋体" w:eastAsia="宋体"/>
        <w:spacing w:val="10"/>
        <w:w w:val="95"/>
        <w:sz w:val="21"/>
      </w:rPr>
    </w:lvl>
    <w:lvl w:ilvl="7" w:tentative="0">
      <w:start w:val="1"/>
      <w:numFmt w:val="upperLetter"/>
      <w:lvlText w:val="%8）"/>
      <w:lvlJc w:val="left"/>
      <w:pPr>
        <w:tabs>
          <w:tab w:val="left" w:pos="560"/>
        </w:tabs>
        <w:ind w:left="200" w:firstLine="0"/>
      </w:pPr>
      <w:rPr>
        <w:rFonts w:hint="eastAsia" w:ascii="宋体" w:eastAsia="宋体"/>
        <w:b w:val="0"/>
        <w:i w:val="0"/>
        <w:color w:val="auto"/>
        <w:spacing w:val="10"/>
        <w:w w:val="95"/>
        <w:sz w:val="21"/>
      </w:rPr>
    </w:lvl>
    <w:lvl w:ilvl="8" w:tentative="0">
      <w:start w:val="1"/>
      <w:numFmt w:val="decimal"/>
      <w:lvlText w:val="%1.%2.%3.%4.%5.%6.%7.%8.%9."/>
      <w:lvlJc w:val="left"/>
      <w:pPr>
        <w:tabs>
          <w:tab w:val="left" w:pos="7780"/>
        </w:tabs>
        <w:ind w:left="7780" w:hanging="1559"/>
      </w:pPr>
      <w:rPr>
        <w:rFonts w:hint="eastAsia"/>
      </w:rPr>
    </w:lvl>
  </w:abstractNum>
  <w:abstractNum w:abstractNumId="23">
    <w:nsid w:val="2D6C4CE6"/>
    <w:multiLevelType w:val="multilevel"/>
    <w:tmpl w:val="2D6C4CE6"/>
    <w:lvl w:ilvl="0" w:tentative="0">
      <w:start w:val="1"/>
      <w:numFmt w:val="bullet"/>
      <w:pStyle w:val="324"/>
      <w:lvlText w:val=""/>
      <w:lvlJc w:val="left"/>
      <w:pPr>
        <w:ind w:left="980" w:hanging="420"/>
      </w:pPr>
      <w:rPr>
        <w:rFonts w:hint="default" w:ascii="Wingdings" w:hAnsi="Wingdings" w:cs="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24">
    <w:nsid w:val="34B82604"/>
    <w:multiLevelType w:val="multilevel"/>
    <w:tmpl w:val="34B82604"/>
    <w:lvl w:ilvl="0" w:tentative="0">
      <w:start w:val="1"/>
      <w:numFmt w:val="decimal"/>
      <w:pStyle w:val="302"/>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34F8445D"/>
    <w:multiLevelType w:val="multilevel"/>
    <w:tmpl w:val="34F8445D"/>
    <w:lvl w:ilvl="0" w:tentative="0">
      <w:start w:val="1"/>
      <w:numFmt w:val="decimal"/>
      <w:pStyle w:val="198"/>
      <w:lvlText w:val="(%1)"/>
      <w:lvlJc w:val="left"/>
      <w:pPr>
        <w:tabs>
          <w:tab w:val="left" w:pos="1560"/>
        </w:tabs>
        <w:ind w:left="840" w:firstLine="0"/>
      </w:pPr>
      <w:rPr>
        <w:rFonts w:hint="eastAsia" w:ascii="宋体" w:hAnsi="宋体" w:eastAsia="宋体"/>
        <w:b w:val="0"/>
        <w:i w:val="0"/>
        <w:sz w:val="28"/>
      </w:rPr>
    </w:lvl>
    <w:lvl w:ilvl="1" w:tentative="0">
      <w:start w:val="1"/>
      <w:numFmt w:val="decimal"/>
      <w:lvlText w:val="(%2)"/>
      <w:lvlJc w:val="left"/>
      <w:pPr>
        <w:tabs>
          <w:tab w:val="left" w:pos="1140"/>
        </w:tabs>
        <w:ind w:left="420" w:firstLine="0"/>
      </w:pPr>
      <w:rPr>
        <w:rFonts w:hint="eastAsia" w:ascii="宋体" w:hAnsi="宋体" w:eastAsia="宋体"/>
        <w:b w:val="0"/>
        <w:i w:val="0"/>
        <w:sz w:val="2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35930E2E"/>
    <w:multiLevelType w:val="multilevel"/>
    <w:tmpl w:val="35930E2E"/>
    <w:lvl w:ilvl="0" w:tentative="0">
      <w:start w:val="1"/>
      <w:numFmt w:val="chineseCountingThousand"/>
      <w:suff w:val="space"/>
      <w:lvlText w:val="第%1章"/>
      <w:lvlJc w:val="left"/>
      <w:pPr>
        <w:ind w:left="992" w:hanging="432"/>
      </w:pPr>
      <w:rPr>
        <w:rFonts w:hint="default" w:ascii="Arial" w:hAnsi="Arial" w:eastAsia="黑体"/>
        <w:b w:val="0"/>
        <w:i w:val="0"/>
        <w:snapToGrid w:val="0"/>
        <w:kern w:val="32"/>
        <w:sz w:val="32"/>
        <w:szCs w:val="32"/>
      </w:rPr>
    </w:lvl>
    <w:lvl w:ilvl="1" w:tentative="0">
      <w:start w:val="1"/>
      <w:numFmt w:val="decimal"/>
      <w:suff w:val="space"/>
      <w:lvlText w:val="%2."/>
      <w:lvlJc w:val="left"/>
      <w:pPr>
        <w:ind w:left="1136" w:hanging="576"/>
      </w:pPr>
      <w:rPr>
        <w:rFonts w:hint="default" w:ascii="Arial" w:hAnsi="Arial" w:eastAsia="黑体"/>
        <w:b w:val="0"/>
        <w:i w:val="0"/>
        <w:snapToGrid w:val="0"/>
        <w:kern w:val="28"/>
        <w:sz w:val="28"/>
        <w:szCs w:val="28"/>
      </w:rPr>
    </w:lvl>
    <w:lvl w:ilvl="2" w:tentative="0">
      <w:start w:val="1"/>
      <w:numFmt w:val="decimal"/>
      <w:suff w:val="space"/>
      <w:lvlText w:val="%2.%3"/>
      <w:lvlJc w:val="left"/>
      <w:pPr>
        <w:ind w:left="1280" w:hanging="720"/>
      </w:pPr>
      <w:rPr>
        <w:rFonts w:hint="default" w:ascii="Arial" w:hAnsi="Arial" w:eastAsia="宋体"/>
        <w:b w:val="0"/>
        <w:i w:val="0"/>
        <w:snapToGrid w:val="0"/>
        <w:kern w:val="28"/>
        <w:sz w:val="28"/>
        <w:szCs w:val="28"/>
      </w:rPr>
    </w:lvl>
    <w:lvl w:ilvl="3" w:tentative="0">
      <w:start w:val="1"/>
      <w:numFmt w:val="decimal"/>
      <w:pStyle w:val="353"/>
      <w:suff w:val="space"/>
      <w:lvlText w:val="%2.%3.%4"/>
      <w:lvlJc w:val="left"/>
      <w:pPr>
        <w:ind w:left="560" w:firstLine="0"/>
      </w:pPr>
      <w:rPr>
        <w:rFonts w:hint="default" w:ascii="Arial" w:hAnsi="Arial" w:eastAsia="宋体"/>
        <w:b w:val="0"/>
        <w:i w:val="0"/>
        <w:snapToGrid w:val="0"/>
        <w:kern w:val="28"/>
        <w:sz w:val="28"/>
        <w:szCs w:val="28"/>
      </w:rPr>
    </w:lvl>
    <w:lvl w:ilvl="4" w:tentative="0">
      <w:start w:val="1"/>
      <w:numFmt w:val="decimal"/>
      <w:suff w:val="space"/>
      <w:lvlText w:val="%5)"/>
      <w:lvlJc w:val="left"/>
      <w:pPr>
        <w:ind w:left="360" w:firstLine="200"/>
      </w:pPr>
      <w:rPr>
        <w:rFonts w:hint="default" w:ascii="Arial" w:hAnsi="Arial" w:eastAsia="宋体"/>
        <w:b w:val="0"/>
        <w:i w:val="0"/>
        <w:sz w:val="28"/>
        <w:szCs w:val="28"/>
      </w:rPr>
    </w:lvl>
    <w:lvl w:ilvl="5" w:tentative="0">
      <w:start w:val="1"/>
      <w:numFmt w:val="decimal"/>
      <w:lvlText w:val="%6)"/>
      <w:lvlJc w:val="left"/>
      <w:pPr>
        <w:tabs>
          <w:tab w:val="left" w:pos="980"/>
        </w:tabs>
        <w:ind w:left="980" w:hanging="420"/>
      </w:pPr>
    </w:lvl>
    <w:lvl w:ilvl="6" w:tentative="0">
      <w:start w:val="1"/>
      <w:numFmt w:val="decimal"/>
      <w:lvlText w:val="%1.%2.%3.%4.%5.%6.%7"/>
      <w:lvlJc w:val="left"/>
      <w:pPr>
        <w:tabs>
          <w:tab w:val="left" w:pos="1856"/>
        </w:tabs>
        <w:ind w:left="1856" w:hanging="1296"/>
      </w:pPr>
      <w:rPr>
        <w:rFonts w:hint="eastAsia"/>
      </w:rPr>
    </w:lvl>
    <w:lvl w:ilvl="7" w:tentative="0">
      <w:start w:val="1"/>
      <w:numFmt w:val="decimal"/>
      <w:lvlText w:val="%1.%2.%3.%4.%5.%6.%7.%8"/>
      <w:lvlJc w:val="left"/>
      <w:pPr>
        <w:tabs>
          <w:tab w:val="left" w:pos="2000"/>
        </w:tabs>
        <w:ind w:left="2000" w:hanging="1440"/>
      </w:pPr>
      <w:rPr>
        <w:rFonts w:hint="eastAsia"/>
      </w:rPr>
    </w:lvl>
    <w:lvl w:ilvl="8" w:tentative="0">
      <w:start w:val="1"/>
      <w:numFmt w:val="decimal"/>
      <w:lvlText w:val="%1.%2.%3.%4.%5.%6.%7.%8.%9"/>
      <w:lvlJc w:val="left"/>
      <w:pPr>
        <w:tabs>
          <w:tab w:val="left" w:pos="2144"/>
        </w:tabs>
        <w:ind w:left="2144" w:hanging="1584"/>
      </w:pPr>
      <w:rPr>
        <w:rFonts w:hint="eastAsia"/>
      </w:rPr>
    </w:lvl>
  </w:abstractNum>
  <w:abstractNum w:abstractNumId="27">
    <w:nsid w:val="3B3FEBEA"/>
    <w:multiLevelType w:val="singleLevel"/>
    <w:tmpl w:val="3B3FEBEA"/>
    <w:lvl w:ilvl="0" w:tentative="0">
      <w:start w:val="1"/>
      <w:numFmt w:val="bullet"/>
      <w:lvlText w:val=""/>
      <w:lvlJc w:val="left"/>
      <w:pPr>
        <w:ind w:left="420" w:hanging="420"/>
      </w:pPr>
      <w:rPr>
        <w:rFonts w:hint="default" w:ascii="Wingdings" w:hAnsi="Wingdings"/>
      </w:rPr>
    </w:lvl>
  </w:abstractNum>
  <w:abstractNum w:abstractNumId="28">
    <w:nsid w:val="3C60BFC8"/>
    <w:multiLevelType w:val="singleLevel"/>
    <w:tmpl w:val="3C60BFC8"/>
    <w:lvl w:ilvl="0" w:tentative="0">
      <w:start w:val="1"/>
      <w:numFmt w:val="bullet"/>
      <w:lvlText w:val=""/>
      <w:lvlJc w:val="left"/>
      <w:pPr>
        <w:ind w:left="420" w:hanging="420"/>
      </w:pPr>
      <w:rPr>
        <w:rFonts w:hint="default" w:ascii="Wingdings" w:hAnsi="Wingdings"/>
      </w:rPr>
    </w:lvl>
  </w:abstractNum>
  <w:abstractNum w:abstractNumId="29">
    <w:nsid w:val="3D5B004C"/>
    <w:multiLevelType w:val="multilevel"/>
    <w:tmpl w:val="3D5B004C"/>
    <w:lvl w:ilvl="0" w:tentative="0">
      <w:start w:val="1"/>
      <w:numFmt w:val="decimal"/>
      <w:pStyle w:val="219"/>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0">
    <w:nsid w:val="3E021818"/>
    <w:multiLevelType w:val="multilevel"/>
    <w:tmpl w:val="3E021818"/>
    <w:lvl w:ilvl="0" w:tentative="0">
      <w:start w:val="1"/>
      <w:numFmt w:val="decimal"/>
      <w:pStyle w:val="449"/>
      <w:lvlText w:val="%1 "/>
      <w:lvlJc w:val="left"/>
      <w:pPr>
        <w:tabs>
          <w:tab w:val="left" w:pos="0"/>
        </w:tabs>
        <w:ind w:left="340" w:hanging="340"/>
      </w:pPr>
      <w:rPr>
        <w:rFonts w:hint="eastAsia" w:ascii="宋体" w:eastAsia="宋体"/>
        <w:b/>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41790190"/>
    <w:multiLevelType w:val="multilevel"/>
    <w:tmpl w:val="41790190"/>
    <w:lvl w:ilvl="0" w:tentative="0">
      <w:start w:val="1"/>
      <w:numFmt w:val="decimal"/>
      <w:lvlText w:val="%1."/>
      <w:lvlJc w:val="left"/>
      <w:pPr>
        <w:tabs>
          <w:tab w:val="left" w:pos="425"/>
        </w:tabs>
        <w:ind w:left="425" w:hanging="425"/>
      </w:pPr>
    </w:lvl>
    <w:lvl w:ilvl="1" w:tentative="0">
      <w:start w:val="1"/>
      <w:numFmt w:val="decimal"/>
      <w:pStyle w:val="314"/>
      <w:lvlText w:val="%1.%2."/>
      <w:lvlJc w:val="left"/>
      <w:pPr>
        <w:tabs>
          <w:tab w:val="left" w:pos="567"/>
        </w:tabs>
        <w:ind w:left="567" w:hanging="567"/>
      </w:pPr>
    </w:lvl>
    <w:lvl w:ilvl="2" w:tentative="0">
      <w:start w:val="1"/>
      <w:numFmt w:val="decimal"/>
      <w:pStyle w:val="426"/>
      <w:lvlText w:val="%1.%2.%3."/>
      <w:lvlJc w:val="left"/>
      <w:pPr>
        <w:tabs>
          <w:tab w:val="left" w:pos="709"/>
        </w:tabs>
        <w:ind w:left="709" w:hanging="709"/>
      </w:pPr>
    </w:lvl>
    <w:lvl w:ilvl="3" w:tentative="0">
      <w:start w:val="1"/>
      <w:numFmt w:val="decimal"/>
      <w:pStyle w:val="395"/>
      <w:lvlText w:val="%1.%2.%3.%4."/>
      <w:lvlJc w:val="left"/>
      <w:pPr>
        <w:tabs>
          <w:tab w:val="left" w:pos="851"/>
        </w:tabs>
        <w:ind w:left="851" w:hanging="851"/>
      </w:pPr>
    </w:lvl>
    <w:lvl w:ilvl="4" w:tentative="0">
      <w:start w:val="1"/>
      <w:numFmt w:val="decimal"/>
      <w:pStyle w:val="199"/>
      <w:lvlText w:val="%1.%2.%3.%4.%5."/>
      <w:lvlJc w:val="left"/>
      <w:pPr>
        <w:tabs>
          <w:tab w:val="left" w:pos="992"/>
        </w:tabs>
        <w:ind w:left="992" w:hanging="992"/>
      </w:pPr>
    </w:lvl>
    <w:lvl w:ilvl="5" w:tentative="0">
      <w:start w:val="1"/>
      <w:numFmt w:val="decimal"/>
      <w:pStyle w:val="297"/>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2">
    <w:nsid w:val="419F34BA"/>
    <w:multiLevelType w:val="multilevel"/>
    <w:tmpl w:val="419F34BA"/>
    <w:lvl w:ilvl="0" w:tentative="0">
      <w:start w:val="1"/>
      <w:numFmt w:val="bullet"/>
      <w:pStyle w:val="326"/>
      <w:lvlText w:val=""/>
      <w:lvlJc w:val="left"/>
      <w:pPr>
        <w:tabs>
          <w:tab w:val="left" w:pos="780"/>
        </w:tabs>
        <w:ind w:left="780" w:hanging="420"/>
      </w:pPr>
      <w:rPr>
        <w:rFonts w:hint="default" w:ascii="Wingdings" w:hAnsi="Wingdings"/>
      </w:rPr>
    </w:lvl>
    <w:lvl w:ilvl="1" w:tentative="0">
      <w:start w:val="1"/>
      <w:numFmt w:val="bullet"/>
      <w:lvlText w:val=""/>
      <w:lvlJc w:val="left"/>
      <w:pPr>
        <w:tabs>
          <w:tab w:val="left" w:pos="1200"/>
        </w:tabs>
        <w:ind w:left="1200" w:hanging="420"/>
      </w:pPr>
      <w:rPr>
        <w:rFonts w:hint="default" w:ascii="Wingdings" w:hAnsi="Wingdings"/>
      </w:rPr>
    </w:lvl>
    <w:lvl w:ilvl="2" w:tentative="0">
      <w:start w:val="1"/>
      <w:numFmt w:val="bullet"/>
      <w:lvlText w:val=""/>
      <w:lvlJc w:val="left"/>
      <w:pPr>
        <w:tabs>
          <w:tab w:val="left" w:pos="1620"/>
        </w:tabs>
        <w:ind w:left="1620" w:hanging="420"/>
      </w:pPr>
      <w:rPr>
        <w:rFonts w:hint="default" w:ascii="Wingdings" w:hAnsi="Wingdings"/>
      </w:rPr>
    </w:lvl>
    <w:lvl w:ilvl="3" w:tentative="0">
      <w:start w:val="1"/>
      <w:numFmt w:val="bullet"/>
      <w:lvlText w:val=""/>
      <w:lvlJc w:val="left"/>
      <w:pPr>
        <w:tabs>
          <w:tab w:val="left" w:pos="2040"/>
        </w:tabs>
        <w:ind w:left="2040" w:hanging="420"/>
      </w:pPr>
      <w:rPr>
        <w:rFonts w:hint="default" w:ascii="Wingdings" w:hAnsi="Wingdings"/>
      </w:rPr>
    </w:lvl>
    <w:lvl w:ilvl="4" w:tentative="0">
      <w:start w:val="1"/>
      <w:numFmt w:val="bullet"/>
      <w:lvlText w:val=""/>
      <w:lvlJc w:val="left"/>
      <w:pPr>
        <w:tabs>
          <w:tab w:val="left" w:pos="2460"/>
        </w:tabs>
        <w:ind w:left="2460" w:hanging="420"/>
      </w:pPr>
      <w:rPr>
        <w:rFonts w:hint="default" w:ascii="Wingdings" w:hAnsi="Wingdings"/>
      </w:rPr>
    </w:lvl>
    <w:lvl w:ilvl="5" w:tentative="0">
      <w:start w:val="1"/>
      <w:numFmt w:val="bullet"/>
      <w:lvlText w:val=""/>
      <w:lvlJc w:val="left"/>
      <w:pPr>
        <w:tabs>
          <w:tab w:val="left" w:pos="2880"/>
        </w:tabs>
        <w:ind w:left="2880" w:hanging="420"/>
      </w:pPr>
      <w:rPr>
        <w:rFonts w:hint="default" w:ascii="Wingdings" w:hAnsi="Wingdings"/>
      </w:rPr>
    </w:lvl>
    <w:lvl w:ilvl="6" w:tentative="0">
      <w:start w:val="1"/>
      <w:numFmt w:val="bullet"/>
      <w:lvlText w:val=""/>
      <w:lvlJc w:val="left"/>
      <w:pPr>
        <w:tabs>
          <w:tab w:val="left" w:pos="3300"/>
        </w:tabs>
        <w:ind w:left="3300" w:hanging="420"/>
      </w:pPr>
      <w:rPr>
        <w:rFonts w:hint="default" w:ascii="Wingdings" w:hAnsi="Wingdings"/>
      </w:rPr>
    </w:lvl>
    <w:lvl w:ilvl="7" w:tentative="0">
      <w:start w:val="1"/>
      <w:numFmt w:val="bullet"/>
      <w:lvlText w:val=""/>
      <w:lvlJc w:val="left"/>
      <w:pPr>
        <w:tabs>
          <w:tab w:val="left" w:pos="3720"/>
        </w:tabs>
        <w:ind w:left="3720" w:hanging="420"/>
      </w:pPr>
      <w:rPr>
        <w:rFonts w:hint="default" w:ascii="Wingdings" w:hAnsi="Wingdings"/>
      </w:rPr>
    </w:lvl>
    <w:lvl w:ilvl="8" w:tentative="0">
      <w:start w:val="1"/>
      <w:numFmt w:val="bullet"/>
      <w:lvlText w:val=""/>
      <w:lvlJc w:val="left"/>
      <w:pPr>
        <w:tabs>
          <w:tab w:val="left" w:pos="4140"/>
        </w:tabs>
        <w:ind w:left="4140" w:hanging="420"/>
      </w:pPr>
      <w:rPr>
        <w:rFonts w:hint="default" w:ascii="Wingdings" w:hAnsi="Wingdings"/>
      </w:rPr>
    </w:lvl>
  </w:abstractNum>
  <w:abstractNum w:abstractNumId="33">
    <w:nsid w:val="452274C7"/>
    <w:multiLevelType w:val="multilevel"/>
    <w:tmpl w:val="452274C7"/>
    <w:lvl w:ilvl="0" w:tentative="0">
      <w:start w:val="1"/>
      <w:numFmt w:val="decimal"/>
      <w:pStyle w:val="384"/>
      <w:suff w:val="nothing"/>
      <w:lvlText w:val="%1　"/>
      <w:lvlJc w:val="left"/>
      <w:pPr>
        <w:ind w:left="0" w:firstLine="0"/>
      </w:pPr>
      <w:rPr>
        <w:rFonts w:hint="eastAsia" w:ascii="黑体" w:eastAsia="黑体"/>
      </w:rPr>
    </w:lvl>
    <w:lvl w:ilvl="1" w:tentative="0">
      <w:start w:val="1"/>
      <w:numFmt w:val="decimal"/>
      <w:suff w:val="nothing"/>
      <w:lvlText w:val="%1.%2　"/>
      <w:lvlJc w:val="left"/>
      <w:pPr>
        <w:ind w:left="420" w:firstLine="0"/>
      </w:pPr>
      <w:rPr>
        <w:rFonts w:hint="eastAsia" w:ascii="黑体" w:eastAsia="黑体"/>
      </w:rPr>
    </w:lvl>
    <w:lvl w:ilvl="2" w:tentative="0">
      <w:start w:val="1"/>
      <w:numFmt w:val="decimal"/>
      <w:suff w:val="nothing"/>
      <w:lvlText w:val="%1.%2.%3　"/>
      <w:lvlJc w:val="left"/>
      <w:pPr>
        <w:ind w:left="735" w:firstLine="0"/>
      </w:pPr>
      <w:rPr>
        <w:rFonts w:hint="eastAsia" w:ascii="黑体" w:eastAsia="黑体"/>
      </w:rPr>
    </w:lvl>
    <w:lvl w:ilvl="3" w:tentative="0">
      <w:start w:val="1"/>
      <w:numFmt w:val="decimal"/>
      <w:suff w:val="nothing"/>
      <w:lvlText w:val="%1.%2.%3.%4　"/>
      <w:lvlJc w:val="left"/>
      <w:pPr>
        <w:ind w:left="420" w:firstLine="0"/>
      </w:pPr>
      <w:rPr>
        <w:rFonts w:hint="eastAsia" w:ascii="黑体" w:eastAsia="黑体"/>
      </w:rPr>
    </w:lvl>
    <w:lvl w:ilvl="4" w:tentative="0">
      <w:start w:val="1"/>
      <w:numFmt w:val="decimal"/>
      <w:suff w:val="nothing"/>
      <w:lvlText w:val="%1.%2.%3.%4.%5　"/>
      <w:lvlJc w:val="left"/>
      <w:pPr>
        <w:ind w:left="0" w:firstLine="0"/>
      </w:pPr>
      <w:rPr>
        <w:rFonts w:hint="eastAsia" w:ascii="黑体" w:eastAsia="黑体"/>
      </w:rPr>
    </w:lvl>
    <w:lvl w:ilvl="5" w:tentative="0">
      <w:start w:val="1"/>
      <w:numFmt w:val="decimal"/>
      <w:suff w:val="nothing"/>
      <w:lvlText w:val="%1.%2.%3.%4.%5.%6　"/>
      <w:lvlJc w:val="left"/>
      <w:pPr>
        <w:ind w:left="0" w:firstLine="0"/>
      </w:pPr>
      <w:rPr>
        <w:rFonts w:hint="eastAsia" w:ascii="黑体" w:eastAsia="黑体"/>
      </w:rPr>
    </w:lvl>
    <w:lvl w:ilvl="6" w:tentative="0">
      <w:start w:val="1"/>
      <w:numFmt w:val="decimal"/>
      <w:lvlRestart w:val="0"/>
      <w:suff w:val="nothing"/>
      <w:lvlText w:val="表%7　"/>
      <w:lvlJc w:val="left"/>
      <w:pPr>
        <w:ind w:left="0" w:firstLine="0"/>
      </w:pPr>
      <w:rPr>
        <w:rFonts w:hint="eastAsia" w:ascii="黑体" w:eastAsia="黑体"/>
      </w:rPr>
    </w:lvl>
    <w:lvl w:ilvl="7" w:tentative="0">
      <w:start w:val="1"/>
      <w:numFmt w:val="decimal"/>
      <w:lvlRestart w:val="0"/>
      <w:suff w:val="nothing"/>
      <w:lvlText w:val="图%8　"/>
      <w:lvlJc w:val="left"/>
      <w:pPr>
        <w:ind w:left="0" w:firstLine="0"/>
      </w:pPr>
      <w:rPr>
        <w:rFonts w:hint="eastAsia" w:ascii="黑体" w:eastAsia="黑体"/>
      </w:rPr>
    </w:lvl>
    <w:lvl w:ilvl="8" w:tentative="0">
      <w:start w:val="1"/>
      <w:numFmt w:val="decimal"/>
      <w:lvlText w:val="%1.%2.%3.%4.%5.%6.%7.%8.%9"/>
      <w:lvlJc w:val="left"/>
      <w:pPr>
        <w:tabs>
          <w:tab w:val="left" w:pos="1584"/>
        </w:tabs>
        <w:ind w:left="1584" w:hanging="1584"/>
      </w:pPr>
      <w:rPr>
        <w:rFonts w:hint="eastAsia"/>
      </w:rPr>
    </w:lvl>
  </w:abstractNum>
  <w:abstractNum w:abstractNumId="34">
    <w:nsid w:val="46224503"/>
    <w:multiLevelType w:val="multilevel"/>
    <w:tmpl w:val="46224503"/>
    <w:lvl w:ilvl="0" w:tentative="0">
      <w:start w:val="1"/>
      <w:numFmt w:val="bullet"/>
      <w:lvlText w:val=""/>
      <w:lvlJc w:val="left"/>
      <w:pPr>
        <w:ind w:left="900" w:hanging="420"/>
      </w:pPr>
      <w:rPr>
        <w:rFonts w:hint="default" w:ascii="Wingdings" w:hAnsi="Wingdings"/>
      </w:rPr>
    </w:lvl>
    <w:lvl w:ilvl="1" w:tentative="0">
      <w:start w:val="1"/>
      <w:numFmt w:val="bullet"/>
      <w:pStyle w:val="209"/>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5">
    <w:nsid w:val="48517A6A"/>
    <w:multiLevelType w:val="singleLevel"/>
    <w:tmpl w:val="48517A6A"/>
    <w:lvl w:ilvl="0" w:tentative="0">
      <w:start w:val="1"/>
      <w:numFmt w:val="bullet"/>
      <w:lvlText w:val=""/>
      <w:lvlJc w:val="left"/>
      <w:pPr>
        <w:ind w:left="420" w:hanging="420"/>
      </w:pPr>
      <w:rPr>
        <w:rFonts w:hint="default" w:ascii="Wingdings" w:hAnsi="Wingdings"/>
      </w:rPr>
    </w:lvl>
  </w:abstractNum>
  <w:abstractNum w:abstractNumId="36">
    <w:nsid w:val="4AF1E53A"/>
    <w:multiLevelType w:val="singleLevel"/>
    <w:tmpl w:val="4AF1E53A"/>
    <w:lvl w:ilvl="0" w:tentative="0">
      <w:start w:val="1"/>
      <w:numFmt w:val="bullet"/>
      <w:lvlText w:val=""/>
      <w:lvlJc w:val="left"/>
      <w:pPr>
        <w:ind w:left="420" w:hanging="420"/>
      </w:pPr>
      <w:rPr>
        <w:rFonts w:hint="default" w:ascii="Wingdings" w:hAnsi="Wingdings"/>
      </w:rPr>
    </w:lvl>
  </w:abstractNum>
  <w:abstractNum w:abstractNumId="37">
    <w:nsid w:val="4EC94BAA"/>
    <w:multiLevelType w:val="multilevel"/>
    <w:tmpl w:val="4EC94BAA"/>
    <w:lvl w:ilvl="0" w:tentative="0">
      <w:start w:val="1"/>
      <w:numFmt w:val="bullet"/>
      <w:pStyle w:val="329"/>
      <w:lvlText w:val=""/>
      <w:lvlJc w:val="left"/>
      <w:pPr>
        <w:ind w:left="980" w:hanging="420"/>
      </w:pPr>
      <w:rPr>
        <w:rFonts w:hint="default" w:ascii="Wingdings" w:hAnsi="Wingdings" w:cs="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38">
    <w:nsid w:val="5345BD66"/>
    <w:multiLevelType w:val="singleLevel"/>
    <w:tmpl w:val="5345BD66"/>
    <w:lvl w:ilvl="0" w:tentative="0">
      <w:start w:val="1"/>
      <w:numFmt w:val="bullet"/>
      <w:lvlText w:val=""/>
      <w:lvlJc w:val="left"/>
      <w:pPr>
        <w:ind w:left="420" w:hanging="420"/>
      </w:pPr>
      <w:rPr>
        <w:rFonts w:hint="default" w:ascii="Wingdings" w:hAnsi="Wingdings"/>
      </w:rPr>
    </w:lvl>
  </w:abstractNum>
  <w:abstractNum w:abstractNumId="39">
    <w:nsid w:val="5A752DCA"/>
    <w:multiLevelType w:val="singleLevel"/>
    <w:tmpl w:val="5A752DCA"/>
    <w:lvl w:ilvl="0" w:tentative="0">
      <w:start w:val="1"/>
      <w:numFmt w:val="bullet"/>
      <w:lvlText w:val=""/>
      <w:lvlJc w:val="left"/>
      <w:pPr>
        <w:ind w:left="420" w:hanging="420"/>
      </w:pPr>
      <w:rPr>
        <w:rFonts w:hint="default" w:ascii="Wingdings" w:hAnsi="Wingdings"/>
      </w:rPr>
    </w:lvl>
  </w:abstractNum>
  <w:abstractNum w:abstractNumId="40">
    <w:nsid w:val="5E400AA9"/>
    <w:multiLevelType w:val="multilevel"/>
    <w:tmpl w:val="5E400AA9"/>
    <w:lvl w:ilvl="0" w:tentative="0">
      <w:start w:val="1"/>
      <w:numFmt w:val="decimal"/>
      <w:lvlText w:val="%1."/>
      <w:lvlJc w:val="left"/>
      <w:pPr>
        <w:tabs>
          <w:tab w:val="left" w:pos="540"/>
        </w:tabs>
        <w:ind w:left="180" w:firstLine="0"/>
      </w:pPr>
      <w:rPr>
        <w:rFonts w:hint="eastAsia" w:ascii="黑体" w:eastAsia="黑体"/>
        <w:b/>
        <w:i w:val="0"/>
        <w:sz w:val="24"/>
        <w:szCs w:val="24"/>
      </w:rPr>
    </w:lvl>
    <w:lvl w:ilvl="1" w:tentative="0">
      <w:start w:val="1"/>
      <w:numFmt w:val="decimal"/>
      <w:pStyle w:val="371"/>
      <w:suff w:val="space"/>
      <w:lvlText w:val="%1.%2."/>
      <w:lvlJc w:val="left"/>
      <w:pPr>
        <w:ind w:left="0" w:firstLine="0"/>
      </w:pPr>
      <w:rPr>
        <w:rFonts w:hint="default" w:ascii="Times New Roman" w:hAnsi="Times New Roman" w:eastAsia="宋体"/>
        <w:b/>
        <w:i w:val="0"/>
        <w:color w:val="auto"/>
        <w:sz w:val="24"/>
        <w:lang w:eastAsia="zh-CN"/>
      </w:rPr>
    </w:lvl>
    <w:lvl w:ilvl="2" w:tentative="0">
      <w:start w:val="1"/>
      <w:numFmt w:val="decimal"/>
      <w:suff w:val="space"/>
      <w:lvlText w:val="%1.%2.%3."/>
      <w:lvlJc w:val="left"/>
      <w:pPr>
        <w:ind w:left="592" w:firstLine="400"/>
      </w:pPr>
      <w:rPr>
        <w:rFonts w:hint="default" w:ascii="Times New Roman" w:hAnsi="Times New Roman" w:eastAsia="宋体"/>
        <w:b/>
        <w:i w:val="0"/>
        <w:color w:val="auto"/>
        <w:sz w:val="24"/>
        <w:szCs w:val="24"/>
      </w:rPr>
    </w:lvl>
    <w:lvl w:ilvl="3" w:tentative="0">
      <w:start w:val="1"/>
      <w:numFmt w:val="decimal"/>
      <w:suff w:val="nothing"/>
      <w:lvlText w:val="（%4）"/>
      <w:lvlJc w:val="left"/>
      <w:pPr>
        <w:ind w:left="540" w:firstLine="0"/>
      </w:pPr>
      <w:rPr>
        <w:rFonts w:hint="eastAsia" w:ascii="宋体" w:eastAsia="宋体"/>
        <w:b w:val="0"/>
        <w:i w:val="0"/>
        <w:sz w:val="28"/>
      </w:rPr>
    </w:lvl>
    <w:lvl w:ilvl="4" w:tentative="0">
      <w:start w:val="1"/>
      <w:numFmt w:val="decimal"/>
      <w:suff w:val="nothing"/>
      <w:lvlText w:val="%5）"/>
      <w:lvlJc w:val="left"/>
      <w:pPr>
        <w:ind w:left="0" w:firstLine="0"/>
      </w:pPr>
      <w:rPr>
        <w:rFonts w:hint="eastAsia" w:ascii="宋体" w:eastAsia="宋体"/>
        <w:b w:val="0"/>
        <w:i w:val="0"/>
        <w:sz w:val="28"/>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41">
    <w:nsid w:val="5EB12933"/>
    <w:multiLevelType w:val="singleLevel"/>
    <w:tmpl w:val="5EB12933"/>
    <w:lvl w:ilvl="0" w:tentative="0">
      <w:start w:val="1"/>
      <w:numFmt w:val="bullet"/>
      <w:lvlText w:val=""/>
      <w:lvlJc w:val="left"/>
      <w:pPr>
        <w:ind w:left="420" w:hanging="420"/>
      </w:pPr>
      <w:rPr>
        <w:rFonts w:hint="default" w:ascii="Wingdings" w:hAnsi="Wingdings"/>
      </w:rPr>
    </w:lvl>
  </w:abstractNum>
  <w:abstractNum w:abstractNumId="42">
    <w:nsid w:val="6411357F"/>
    <w:multiLevelType w:val="multilevel"/>
    <w:tmpl w:val="6411357F"/>
    <w:lvl w:ilvl="0" w:tentative="0">
      <w:start w:val="1"/>
      <w:numFmt w:val="bullet"/>
      <w:pStyle w:val="299"/>
      <w:lvlText w:val=""/>
      <w:lvlJc w:val="left"/>
      <w:pPr>
        <w:ind w:left="980" w:hanging="420"/>
      </w:pPr>
      <w:rPr>
        <w:rFonts w:hint="default" w:ascii="Wingdings" w:hAnsi="Wingdings"/>
      </w:rPr>
    </w:lvl>
    <w:lvl w:ilvl="1" w:tentative="0">
      <w:start w:val="1"/>
      <w:numFmt w:val="bullet"/>
      <w:pStyle w:val="332"/>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pStyle w:val="306"/>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pStyle w:val="378"/>
      <w:lvlText w:val=""/>
      <w:lvlJc w:val="left"/>
      <w:pPr>
        <w:ind w:left="3080" w:hanging="420"/>
      </w:pPr>
      <w:rPr>
        <w:rFonts w:hint="default" w:ascii="Wingdings" w:hAnsi="Wingdings"/>
      </w:rPr>
    </w:lvl>
    <w:lvl w:ilvl="6" w:tentative="0">
      <w:start w:val="1"/>
      <w:numFmt w:val="bullet"/>
      <w:pStyle w:val="320"/>
      <w:lvlText w:val=""/>
      <w:lvlJc w:val="left"/>
      <w:pPr>
        <w:ind w:left="3500" w:hanging="420"/>
      </w:pPr>
      <w:rPr>
        <w:rFonts w:hint="default" w:ascii="Wingdings" w:hAnsi="Wingdings"/>
      </w:rPr>
    </w:lvl>
    <w:lvl w:ilvl="7" w:tentative="0">
      <w:start w:val="1"/>
      <w:numFmt w:val="bullet"/>
      <w:pStyle w:val="336"/>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43">
    <w:nsid w:val="64AB444F"/>
    <w:multiLevelType w:val="multilevel"/>
    <w:tmpl w:val="64AB444F"/>
    <w:lvl w:ilvl="0" w:tentative="0">
      <w:start w:val="1"/>
      <w:numFmt w:val="chineseCountingThousand"/>
      <w:pStyle w:val="84"/>
      <w:lvlText w:val="第%1部分"/>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6FA97D7A"/>
    <w:multiLevelType w:val="multilevel"/>
    <w:tmpl w:val="6FA97D7A"/>
    <w:lvl w:ilvl="0" w:tentative="0">
      <w:start w:val="1"/>
      <w:numFmt w:val="decimal"/>
      <w:pStyle w:val="392"/>
      <w:lvlText w:val="%1、"/>
      <w:lvlJc w:val="left"/>
      <w:pPr>
        <w:tabs>
          <w:tab w:val="left" w:pos="800"/>
        </w:tabs>
        <w:ind w:left="0" w:firstLine="400"/>
      </w:pPr>
      <w:rPr>
        <w:rFonts w:hint="eastAsia"/>
        <w:b/>
        <w:i w:val="0"/>
        <w:sz w:val="28"/>
        <w:szCs w:val="28"/>
      </w:rPr>
    </w:lvl>
    <w:lvl w:ilvl="1" w:tentative="0">
      <w:start w:val="1"/>
      <w:numFmt w:val="decimal"/>
      <w:isLgl/>
      <w:lvlText w:val="3.%2"/>
      <w:lvlJc w:val="left"/>
      <w:pPr>
        <w:tabs>
          <w:tab w:val="left" w:pos="220"/>
        </w:tabs>
        <w:ind w:left="800" w:firstLine="0"/>
      </w:pPr>
      <w:rPr>
        <w:rFonts w:hint="eastAsia"/>
        <w:b w:val="0"/>
        <w:i w:val="0"/>
        <w:sz w:val="21"/>
        <w:szCs w:val="2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5">
    <w:nsid w:val="75800A20"/>
    <w:multiLevelType w:val="multilevel"/>
    <w:tmpl w:val="75800A20"/>
    <w:lvl w:ilvl="0" w:tentative="0">
      <w:start w:val="1"/>
      <w:numFmt w:val="bullet"/>
      <w:pStyle w:val="66"/>
      <w:lvlText w:val=""/>
      <w:lvlJc w:val="left"/>
      <w:pPr>
        <w:tabs>
          <w:tab w:val="left" w:pos="1560"/>
        </w:tabs>
        <w:ind w:left="1560" w:hanging="420"/>
      </w:pPr>
      <w:rPr>
        <w:rFonts w:hint="default" w:ascii="Wingdings" w:hAnsi="Wingdings"/>
      </w:rPr>
    </w:lvl>
    <w:lvl w:ilvl="1" w:tentative="0">
      <w:start w:val="1"/>
      <w:numFmt w:val="bullet"/>
      <w:pStyle w:val="293"/>
      <w:lvlText w:val=""/>
      <w:lvlJc w:val="left"/>
      <w:pPr>
        <w:tabs>
          <w:tab w:val="left" w:pos="1980"/>
        </w:tabs>
        <w:ind w:left="1980" w:hanging="420"/>
      </w:pPr>
      <w:rPr>
        <w:rFonts w:hint="default" w:ascii="Wingdings" w:hAnsi="Wingdings"/>
      </w:rPr>
    </w:lvl>
    <w:lvl w:ilvl="2" w:tentative="0">
      <w:start w:val="1"/>
      <w:numFmt w:val="bullet"/>
      <w:lvlText w:val=""/>
      <w:lvlJc w:val="left"/>
      <w:pPr>
        <w:tabs>
          <w:tab w:val="left" w:pos="2400"/>
        </w:tabs>
        <w:ind w:left="2400" w:hanging="420"/>
      </w:pPr>
      <w:rPr>
        <w:rFonts w:hint="default" w:ascii="Wingdings" w:hAnsi="Wingdings"/>
      </w:rPr>
    </w:lvl>
    <w:lvl w:ilvl="3" w:tentative="0">
      <w:start w:val="1"/>
      <w:numFmt w:val="bullet"/>
      <w:lvlText w:val=""/>
      <w:lvlJc w:val="left"/>
      <w:pPr>
        <w:tabs>
          <w:tab w:val="left" w:pos="2820"/>
        </w:tabs>
        <w:ind w:left="2820" w:hanging="420"/>
      </w:pPr>
      <w:rPr>
        <w:rFonts w:hint="default" w:ascii="Wingdings" w:hAnsi="Wingdings"/>
      </w:rPr>
    </w:lvl>
    <w:lvl w:ilvl="4" w:tentative="0">
      <w:start w:val="1"/>
      <w:numFmt w:val="bullet"/>
      <w:lvlText w:val=""/>
      <w:lvlJc w:val="left"/>
      <w:pPr>
        <w:tabs>
          <w:tab w:val="left" w:pos="3240"/>
        </w:tabs>
        <w:ind w:left="3240" w:hanging="420"/>
      </w:pPr>
      <w:rPr>
        <w:rFonts w:hint="default" w:ascii="Wingdings" w:hAnsi="Wingdings"/>
      </w:rPr>
    </w:lvl>
    <w:lvl w:ilvl="5" w:tentative="0">
      <w:start w:val="1"/>
      <w:numFmt w:val="bullet"/>
      <w:lvlText w:val=""/>
      <w:lvlJc w:val="left"/>
      <w:pPr>
        <w:tabs>
          <w:tab w:val="left" w:pos="3660"/>
        </w:tabs>
        <w:ind w:left="3660" w:hanging="420"/>
      </w:pPr>
      <w:rPr>
        <w:rFonts w:hint="default" w:ascii="Wingdings" w:hAnsi="Wingdings"/>
      </w:rPr>
    </w:lvl>
    <w:lvl w:ilvl="6" w:tentative="0">
      <w:start w:val="1"/>
      <w:numFmt w:val="bullet"/>
      <w:lvlText w:val=""/>
      <w:lvlJc w:val="left"/>
      <w:pPr>
        <w:tabs>
          <w:tab w:val="left" w:pos="4080"/>
        </w:tabs>
        <w:ind w:left="4080" w:hanging="420"/>
      </w:pPr>
      <w:rPr>
        <w:rFonts w:hint="default" w:ascii="Wingdings" w:hAnsi="Wingdings"/>
      </w:rPr>
    </w:lvl>
    <w:lvl w:ilvl="7" w:tentative="0">
      <w:start w:val="1"/>
      <w:numFmt w:val="bullet"/>
      <w:lvlText w:val=""/>
      <w:lvlJc w:val="left"/>
      <w:pPr>
        <w:tabs>
          <w:tab w:val="left" w:pos="4500"/>
        </w:tabs>
        <w:ind w:left="4500" w:hanging="420"/>
      </w:pPr>
      <w:rPr>
        <w:rFonts w:hint="default" w:ascii="Wingdings" w:hAnsi="Wingdings"/>
      </w:rPr>
    </w:lvl>
    <w:lvl w:ilvl="8" w:tentative="0">
      <w:start w:val="1"/>
      <w:numFmt w:val="bullet"/>
      <w:lvlText w:val=""/>
      <w:lvlJc w:val="left"/>
      <w:pPr>
        <w:tabs>
          <w:tab w:val="left" w:pos="4920"/>
        </w:tabs>
        <w:ind w:left="4920" w:hanging="420"/>
      </w:pPr>
      <w:rPr>
        <w:rFonts w:hint="default" w:ascii="Wingdings" w:hAnsi="Wingdings"/>
      </w:rPr>
    </w:lvl>
  </w:abstractNum>
  <w:abstractNum w:abstractNumId="46">
    <w:nsid w:val="7A0266A5"/>
    <w:multiLevelType w:val="multilevel"/>
    <w:tmpl w:val="7A0266A5"/>
    <w:lvl w:ilvl="0" w:tentative="0">
      <w:start w:val="1"/>
      <w:numFmt w:val="bullet"/>
      <w:pStyle w:val="412"/>
      <w:lvlText w:val=""/>
      <w:lvlJc w:val="left"/>
      <w:pPr>
        <w:tabs>
          <w:tab w:val="left" w:pos="960"/>
        </w:tabs>
        <w:ind w:left="96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7">
    <w:nsid w:val="7A597B2D"/>
    <w:multiLevelType w:val="multilevel"/>
    <w:tmpl w:val="7A597B2D"/>
    <w:lvl w:ilvl="0" w:tentative="0">
      <w:start w:val="1"/>
      <w:numFmt w:val="bullet"/>
      <w:pStyle w:val="447"/>
      <w:lvlText w:val=""/>
      <w:lvlJc w:val="left"/>
      <w:pPr>
        <w:tabs>
          <w:tab w:val="left" w:pos="1260"/>
        </w:tabs>
        <w:ind w:left="1260" w:hanging="420"/>
      </w:pPr>
      <w:rPr>
        <w:rFonts w:hint="default" w:ascii="Wingdings" w:hAnsi="Wingdings" w:eastAsia="仿宋_GB2312"/>
        <w:kern w:val="2"/>
        <w:sz w:val="24"/>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48">
    <w:nsid w:val="7C7D18A7"/>
    <w:multiLevelType w:val="multilevel"/>
    <w:tmpl w:val="7C7D18A7"/>
    <w:lvl w:ilvl="0" w:tentative="0">
      <w:start w:val="1"/>
      <w:numFmt w:val="decimal"/>
      <w:pStyle w:val="3"/>
      <w:lvlText w:val="%1."/>
      <w:lvlJc w:val="left"/>
      <w:pPr>
        <w:ind w:left="420" w:hanging="420"/>
      </w:pPr>
      <w:rPr>
        <w:rFonts w:hint="default" w:ascii="Arial" w:hAnsi="Arial" w:cs="Arial"/>
        <w:b/>
        <w:bCs w:val="0"/>
        <w:i w:val="0"/>
        <w:iCs w:val="0"/>
        <w:caps w:val="0"/>
        <w:smallCaps w:val="0"/>
        <w:strike w:val="0"/>
        <w:dstrike w:val="0"/>
        <w:vanish w:val="0"/>
        <w:color w:val="000000"/>
        <w:spacing w:val="0"/>
        <w:position w:val="0"/>
        <w:sz w:val="24"/>
        <w:szCs w:val="22"/>
        <w:u w:val="none"/>
        <w:vertAlign w:val="baseline"/>
        <w14:shadow w14:blurRad="0" w14:dist="0" w14:dir="0" w14:sx="0" w14:sy="0" w14:kx="0" w14:ky="0" w14:algn="none">
          <w14:srgbClr w14:val="000000"/>
        </w14:shadow>
      </w:rPr>
    </w:lvl>
    <w:lvl w:ilvl="1" w:tentative="0">
      <w:start w:val="1"/>
      <w:numFmt w:val="decimal"/>
      <w:pStyle w:val="4"/>
      <w:suff w:val="space"/>
      <w:lvlText w:val="%1.%2"/>
      <w:lvlJc w:val="left"/>
      <w:pPr>
        <w:ind w:left="0" w:firstLine="0"/>
      </w:pPr>
      <w:rPr>
        <w:rFonts w:hint="default" w:ascii="Arial" w:hAnsi="Arial" w:cs="Arial"/>
        <w:b/>
        <w:sz w:val="24"/>
        <w:szCs w:val="24"/>
      </w:rPr>
    </w:lvl>
    <w:lvl w:ilvl="2" w:tentative="0">
      <w:start w:val="1"/>
      <w:numFmt w:val="decimal"/>
      <w:pStyle w:val="6"/>
      <w:suff w:val="space"/>
      <w:lvlText w:val="%1.%2.%3"/>
      <w:lvlJc w:val="left"/>
      <w:pPr>
        <w:ind w:left="3261" w:firstLine="0"/>
      </w:pPr>
      <w:rPr>
        <w:rFonts w:hint="default" w:ascii="Arial" w:hAnsi="Arial" w:cs="Arial"/>
        <w:sz w:val="22"/>
        <w:szCs w:val="22"/>
      </w:rPr>
    </w:lvl>
    <w:lvl w:ilvl="3" w:tentative="0">
      <w:start w:val="1"/>
      <w:numFmt w:val="decimal"/>
      <w:pStyle w:val="7"/>
      <w:suff w:val="space"/>
      <w:lvlText w:val="%1.%2.%3.%4"/>
      <w:lvlJc w:val="left"/>
      <w:pPr>
        <w:ind w:left="1418" w:firstLine="0"/>
      </w:pPr>
      <w:rPr>
        <w:rFonts w:hint="default" w:ascii="Arial" w:hAnsi="Arial" w:cs="Arial"/>
        <w:sz w:val="21"/>
        <w:szCs w:val="21"/>
      </w:rPr>
    </w:lvl>
    <w:lvl w:ilvl="4" w:tentative="0">
      <w:start w:val="1"/>
      <w:numFmt w:val="decimal"/>
      <w:pStyle w:val="8"/>
      <w:suff w:val="space"/>
      <w:lvlText w:val="（%5）"/>
      <w:lvlJc w:val="left"/>
      <w:pPr>
        <w:ind w:left="-137" w:firstLine="420"/>
      </w:pPr>
      <w:rPr>
        <w:rFonts w:hint="default" w:ascii="Arial" w:hAnsi="Arial" w:cs="Arial"/>
        <w:b w:val="0"/>
        <w:sz w:val="21"/>
        <w:szCs w:val="18"/>
      </w:rPr>
    </w:lvl>
    <w:lvl w:ilvl="5" w:tentative="0">
      <w:start w:val="1"/>
      <w:numFmt w:val="decimal"/>
      <w:pStyle w:val="9"/>
      <w:suff w:val="space"/>
      <w:lvlText w:val="%6）"/>
      <w:lvlJc w:val="left"/>
      <w:pPr>
        <w:ind w:left="0" w:firstLine="601"/>
      </w:pPr>
      <w:rPr>
        <w:rFonts w:hint="default" w:ascii="Arial" w:hAnsi="Arial" w:cs="Arial"/>
        <w:sz w:val="24"/>
        <w:szCs w:val="10351"/>
      </w:rPr>
    </w:lvl>
    <w:lvl w:ilvl="6" w:tentative="0">
      <w:start w:val="1"/>
      <w:numFmt w:val="upperLetter"/>
      <w:pStyle w:val="10"/>
      <w:suff w:val="space"/>
      <w:lvlText w:val="%7."/>
      <w:lvlJc w:val="left"/>
      <w:pPr>
        <w:ind w:left="0" w:firstLine="601"/>
      </w:pPr>
      <w:rPr>
        <w:rFonts w:hint="default" w:ascii="Arial" w:hAnsi="Arial" w:cs="Arial"/>
        <w:sz w:val="24"/>
      </w:rPr>
    </w:lvl>
    <w:lvl w:ilvl="7" w:tentative="0">
      <w:start w:val="1"/>
      <w:numFmt w:val="lowerLetter"/>
      <w:pStyle w:val="11"/>
      <w:suff w:val="space"/>
      <w:lvlText w:val="%8."/>
      <w:lvlJc w:val="left"/>
      <w:pPr>
        <w:ind w:left="0" w:firstLine="601"/>
      </w:pPr>
      <w:rPr>
        <w:rFonts w:hint="default" w:ascii="Arial" w:hAnsi="Arial" w:cs="Arial"/>
        <w:sz w:val="24"/>
        <w:szCs w:val="24"/>
      </w:rPr>
    </w:lvl>
    <w:lvl w:ilvl="8" w:tentative="0">
      <w:start w:val="1"/>
      <w:numFmt w:val="lowerLetter"/>
      <w:pStyle w:val="12"/>
      <w:suff w:val="space"/>
      <w:lvlText w:val="%9）"/>
      <w:lvlJc w:val="left"/>
      <w:pPr>
        <w:ind w:left="0" w:firstLine="601"/>
      </w:pPr>
      <w:rPr>
        <w:rFonts w:hint="default" w:ascii="Arial" w:hAnsi="Arial"/>
        <w:color w:val="000000"/>
        <w:sz w:val="24"/>
        <w14:shadow w14:blurRad="0" w14:dist="0" w14:dir="0" w14:sx="0" w14:sy="0" w14:kx="0" w14:ky="0" w14:algn="none">
          <w14:srgbClr w14:val="000000"/>
        </w14:shadow>
      </w:rPr>
    </w:lvl>
  </w:abstractNum>
  <w:abstractNum w:abstractNumId="49">
    <w:nsid w:val="7E658A59"/>
    <w:multiLevelType w:val="singleLevel"/>
    <w:tmpl w:val="7E658A59"/>
    <w:lvl w:ilvl="0" w:tentative="0">
      <w:start w:val="1"/>
      <w:numFmt w:val="bullet"/>
      <w:lvlText w:val=""/>
      <w:lvlJc w:val="left"/>
      <w:pPr>
        <w:ind w:left="420" w:hanging="420"/>
      </w:pPr>
      <w:rPr>
        <w:rFonts w:hint="default" w:ascii="Wingdings" w:hAnsi="Wingdings"/>
      </w:rPr>
    </w:lvl>
  </w:abstractNum>
  <w:num w:numId="1">
    <w:abstractNumId w:val="48"/>
  </w:num>
  <w:num w:numId="2">
    <w:abstractNumId w:val="45"/>
  </w:num>
  <w:num w:numId="3">
    <w:abstractNumId w:val="43"/>
  </w:num>
  <w:num w:numId="4">
    <w:abstractNumId w:val="25"/>
  </w:num>
  <w:num w:numId="5">
    <w:abstractNumId w:val="31"/>
  </w:num>
  <w:num w:numId="6">
    <w:abstractNumId w:val="34"/>
  </w:num>
  <w:num w:numId="7">
    <w:abstractNumId w:val="29"/>
  </w:num>
  <w:num w:numId="8">
    <w:abstractNumId w:val="13"/>
  </w:num>
  <w:num w:numId="9">
    <w:abstractNumId w:val="42"/>
  </w:num>
  <w:num w:numId="10">
    <w:abstractNumId w:val="24"/>
  </w:num>
  <w:num w:numId="11">
    <w:abstractNumId w:val="23"/>
  </w:num>
  <w:num w:numId="12">
    <w:abstractNumId w:val="32"/>
  </w:num>
  <w:num w:numId="13">
    <w:abstractNumId w:val="37"/>
  </w:num>
  <w:num w:numId="14">
    <w:abstractNumId w:val="14"/>
  </w:num>
  <w:num w:numId="15">
    <w:abstractNumId w:val="26"/>
  </w:num>
  <w:num w:numId="16">
    <w:abstractNumId w:val="8"/>
  </w:num>
  <w:num w:numId="17">
    <w:abstractNumId w:val="40"/>
  </w:num>
  <w:num w:numId="18">
    <w:abstractNumId w:val="22"/>
  </w:num>
  <w:num w:numId="19">
    <w:abstractNumId w:val="33"/>
  </w:num>
  <w:num w:numId="20">
    <w:abstractNumId w:val="44"/>
  </w:num>
  <w:num w:numId="21">
    <w:abstractNumId w:val="15"/>
  </w:num>
  <w:num w:numId="22">
    <w:abstractNumId w:val="46"/>
  </w:num>
  <w:num w:numId="23">
    <w:abstractNumId w:val="16"/>
  </w:num>
  <w:num w:numId="24">
    <w:abstractNumId w:val="21"/>
  </w:num>
  <w:num w:numId="25">
    <w:abstractNumId w:val="17"/>
  </w:num>
  <w:num w:numId="26">
    <w:abstractNumId w:val="47"/>
  </w:num>
  <w:num w:numId="27">
    <w:abstractNumId w:val="30"/>
  </w:num>
  <w:num w:numId="28">
    <w:abstractNumId w:val="20"/>
  </w:num>
  <w:num w:numId="29">
    <w:abstractNumId w:val="9"/>
  </w:num>
  <w:num w:numId="30">
    <w:abstractNumId w:val="28"/>
  </w:num>
  <w:num w:numId="31">
    <w:abstractNumId w:val="1"/>
  </w:num>
  <w:num w:numId="32">
    <w:abstractNumId w:val="41"/>
  </w:num>
  <w:num w:numId="33">
    <w:abstractNumId w:val="27"/>
  </w:num>
  <w:num w:numId="34">
    <w:abstractNumId w:val="6"/>
  </w:num>
  <w:num w:numId="35">
    <w:abstractNumId w:val="18"/>
  </w:num>
  <w:num w:numId="36">
    <w:abstractNumId w:val="5"/>
  </w:num>
  <w:num w:numId="37">
    <w:abstractNumId w:val="35"/>
  </w:num>
  <w:num w:numId="38">
    <w:abstractNumId w:val="38"/>
  </w:num>
  <w:num w:numId="39">
    <w:abstractNumId w:val="49"/>
  </w:num>
  <w:num w:numId="40">
    <w:abstractNumId w:val="3"/>
  </w:num>
  <w:num w:numId="41">
    <w:abstractNumId w:val="0"/>
  </w:num>
  <w:num w:numId="42">
    <w:abstractNumId w:val="2"/>
  </w:num>
  <w:num w:numId="43">
    <w:abstractNumId w:val="36"/>
  </w:num>
  <w:num w:numId="44">
    <w:abstractNumId w:val="11"/>
  </w:num>
  <w:num w:numId="45">
    <w:abstractNumId w:val="39"/>
  </w:num>
  <w:num w:numId="46">
    <w:abstractNumId w:val="12"/>
  </w:num>
  <w:num w:numId="47">
    <w:abstractNumId w:val="4"/>
  </w:num>
  <w:num w:numId="48">
    <w:abstractNumId w:val="7"/>
  </w:num>
  <w:num w:numId="49">
    <w:abstractNumId w:val="19"/>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attachedTemplate r:id="rId1"/>
  <w:documentProtection w:formatting="1" w:enforcement="0"/>
  <w:defaultTabStop w:val="420"/>
  <w:drawingGridHorizontalSpacing w:val="1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E84"/>
    <w:rsid w:val="0000002F"/>
    <w:rsid w:val="00000A1A"/>
    <w:rsid w:val="00000BB7"/>
    <w:rsid w:val="0000111E"/>
    <w:rsid w:val="00001BFC"/>
    <w:rsid w:val="00001D36"/>
    <w:rsid w:val="00001E4F"/>
    <w:rsid w:val="00002332"/>
    <w:rsid w:val="000025A8"/>
    <w:rsid w:val="00003CAD"/>
    <w:rsid w:val="00004314"/>
    <w:rsid w:val="00004553"/>
    <w:rsid w:val="000045B5"/>
    <w:rsid w:val="000045DD"/>
    <w:rsid w:val="00005180"/>
    <w:rsid w:val="0000583B"/>
    <w:rsid w:val="00005939"/>
    <w:rsid w:val="000061D9"/>
    <w:rsid w:val="00007D7E"/>
    <w:rsid w:val="0001050A"/>
    <w:rsid w:val="0001140B"/>
    <w:rsid w:val="000116F2"/>
    <w:rsid w:val="00011B65"/>
    <w:rsid w:val="00012CB8"/>
    <w:rsid w:val="00012E4C"/>
    <w:rsid w:val="00013792"/>
    <w:rsid w:val="00013C8D"/>
    <w:rsid w:val="00013F34"/>
    <w:rsid w:val="000146CE"/>
    <w:rsid w:val="00014914"/>
    <w:rsid w:val="00015484"/>
    <w:rsid w:val="00015AFD"/>
    <w:rsid w:val="00016937"/>
    <w:rsid w:val="00016A10"/>
    <w:rsid w:val="00016E10"/>
    <w:rsid w:val="0001744B"/>
    <w:rsid w:val="00017700"/>
    <w:rsid w:val="000178DF"/>
    <w:rsid w:val="00017B50"/>
    <w:rsid w:val="00017FBB"/>
    <w:rsid w:val="00020494"/>
    <w:rsid w:val="000206A2"/>
    <w:rsid w:val="000209DA"/>
    <w:rsid w:val="00020D51"/>
    <w:rsid w:val="0002150E"/>
    <w:rsid w:val="000215CB"/>
    <w:rsid w:val="000216B4"/>
    <w:rsid w:val="00021B7A"/>
    <w:rsid w:val="00023159"/>
    <w:rsid w:val="000240CD"/>
    <w:rsid w:val="000242D0"/>
    <w:rsid w:val="000251DC"/>
    <w:rsid w:val="00025375"/>
    <w:rsid w:val="00025436"/>
    <w:rsid w:val="0002672E"/>
    <w:rsid w:val="00026C7E"/>
    <w:rsid w:val="00027620"/>
    <w:rsid w:val="00027BF6"/>
    <w:rsid w:val="00027EB6"/>
    <w:rsid w:val="00027EBB"/>
    <w:rsid w:val="000309D3"/>
    <w:rsid w:val="000314CC"/>
    <w:rsid w:val="00031612"/>
    <w:rsid w:val="00031EE6"/>
    <w:rsid w:val="00032649"/>
    <w:rsid w:val="0003296C"/>
    <w:rsid w:val="0003354C"/>
    <w:rsid w:val="000338E1"/>
    <w:rsid w:val="00035010"/>
    <w:rsid w:val="000352C5"/>
    <w:rsid w:val="0003648E"/>
    <w:rsid w:val="00037912"/>
    <w:rsid w:val="000379B3"/>
    <w:rsid w:val="000406AC"/>
    <w:rsid w:val="0004135C"/>
    <w:rsid w:val="0004184A"/>
    <w:rsid w:val="00041B7F"/>
    <w:rsid w:val="00042348"/>
    <w:rsid w:val="00042840"/>
    <w:rsid w:val="00043E4B"/>
    <w:rsid w:val="00043F56"/>
    <w:rsid w:val="0004407F"/>
    <w:rsid w:val="000440DF"/>
    <w:rsid w:val="00044180"/>
    <w:rsid w:val="00044268"/>
    <w:rsid w:val="00045152"/>
    <w:rsid w:val="0004536F"/>
    <w:rsid w:val="00045EE0"/>
    <w:rsid w:val="00046345"/>
    <w:rsid w:val="000476FD"/>
    <w:rsid w:val="000479A1"/>
    <w:rsid w:val="00050190"/>
    <w:rsid w:val="00050C1F"/>
    <w:rsid w:val="00051022"/>
    <w:rsid w:val="000512AD"/>
    <w:rsid w:val="000513DB"/>
    <w:rsid w:val="000514E8"/>
    <w:rsid w:val="000519DB"/>
    <w:rsid w:val="000523BC"/>
    <w:rsid w:val="00052A82"/>
    <w:rsid w:val="00052F4D"/>
    <w:rsid w:val="00053377"/>
    <w:rsid w:val="00054ABA"/>
    <w:rsid w:val="00054BD1"/>
    <w:rsid w:val="000550E4"/>
    <w:rsid w:val="00055E53"/>
    <w:rsid w:val="00055F85"/>
    <w:rsid w:val="00056365"/>
    <w:rsid w:val="0005692C"/>
    <w:rsid w:val="00056C1D"/>
    <w:rsid w:val="00057732"/>
    <w:rsid w:val="00057C82"/>
    <w:rsid w:val="00060780"/>
    <w:rsid w:val="00060940"/>
    <w:rsid w:val="00060D11"/>
    <w:rsid w:val="00061955"/>
    <w:rsid w:val="00061BA8"/>
    <w:rsid w:val="00061C78"/>
    <w:rsid w:val="00062233"/>
    <w:rsid w:val="00062F05"/>
    <w:rsid w:val="0006592B"/>
    <w:rsid w:val="00066523"/>
    <w:rsid w:val="00066658"/>
    <w:rsid w:val="000669C0"/>
    <w:rsid w:val="000679D3"/>
    <w:rsid w:val="00070151"/>
    <w:rsid w:val="0007016A"/>
    <w:rsid w:val="00070C19"/>
    <w:rsid w:val="00070C6C"/>
    <w:rsid w:val="0007109D"/>
    <w:rsid w:val="000711CB"/>
    <w:rsid w:val="00071818"/>
    <w:rsid w:val="00071BCD"/>
    <w:rsid w:val="00071C57"/>
    <w:rsid w:val="00071CC3"/>
    <w:rsid w:val="00072B2D"/>
    <w:rsid w:val="00073C07"/>
    <w:rsid w:val="000749BA"/>
    <w:rsid w:val="00074D15"/>
    <w:rsid w:val="00075373"/>
    <w:rsid w:val="00075708"/>
    <w:rsid w:val="000758B8"/>
    <w:rsid w:val="00075D37"/>
    <w:rsid w:val="00075F68"/>
    <w:rsid w:val="00076AE9"/>
    <w:rsid w:val="00076E6C"/>
    <w:rsid w:val="0007746C"/>
    <w:rsid w:val="00077B27"/>
    <w:rsid w:val="00077DA2"/>
    <w:rsid w:val="00077E1B"/>
    <w:rsid w:val="00077FBE"/>
    <w:rsid w:val="0008025F"/>
    <w:rsid w:val="00080811"/>
    <w:rsid w:val="00080B81"/>
    <w:rsid w:val="000825D8"/>
    <w:rsid w:val="0008285A"/>
    <w:rsid w:val="00082BF6"/>
    <w:rsid w:val="00082F33"/>
    <w:rsid w:val="00083842"/>
    <w:rsid w:val="0008469F"/>
    <w:rsid w:val="00085056"/>
    <w:rsid w:val="00085094"/>
    <w:rsid w:val="0008564C"/>
    <w:rsid w:val="00085C45"/>
    <w:rsid w:val="00087AC9"/>
    <w:rsid w:val="00090405"/>
    <w:rsid w:val="000904C8"/>
    <w:rsid w:val="00090762"/>
    <w:rsid w:val="0009110E"/>
    <w:rsid w:val="000913F9"/>
    <w:rsid w:val="0009254D"/>
    <w:rsid w:val="000939B9"/>
    <w:rsid w:val="00093AAF"/>
    <w:rsid w:val="00093C1E"/>
    <w:rsid w:val="000944B8"/>
    <w:rsid w:val="00095D4D"/>
    <w:rsid w:val="00095E7B"/>
    <w:rsid w:val="0009680E"/>
    <w:rsid w:val="00096908"/>
    <w:rsid w:val="00097056"/>
    <w:rsid w:val="000974A7"/>
    <w:rsid w:val="000976D6"/>
    <w:rsid w:val="00097DFD"/>
    <w:rsid w:val="000A060D"/>
    <w:rsid w:val="000A0A1C"/>
    <w:rsid w:val="000A0F0D"/>
    <w:rsid w:val="000A2665"/>
    <w:rsid w:val="000A2A8B"/>
    <w:rsid w:val="000A31C6"/>
    <w:rsid w:val="000A34B9"/>
    <w:rsid w:val="000A3A6E"/>
    <w:rsid w:val="000A3C0C"/>
    <w:rsid w:val="000A3DFA"/>
    <w:rsid w:val="000A40BF"/>
    <w:rsid w:val="000A4132"/>
    <w:rsid w:val="000A432C"/>
    <w:rsid w:val="000A51DA"/>
    <w:rsid w:val="000A5AB8"/>
    <w:rsid w:val="000A5E20"/>
    <w:rsid w:val="000A60DC"/>
    <w:rsid w:val="000A60FF"/>
    <w:rsid w:val="000A6134"/>
    <w:rsid w:val="000A77F2"/>
    <w:rsid w:val="000A79CF"/>
    <w:rsid w:val="000B00A5"/>
    <w:rsid w:val="000B0F95"/>
    <w:rsid w:val="000B1801"/>
    <w:rsid w:val="000B195F"/>
    <w:rsid w:val="000B1CAE"/>
    <w:rsid w:val="000B2307"/>
    <w:rsid w:val="000B28E9"/>
    <w:rsid w:val="000B2B7B"/>
    <w:rsid w:val="000B3445"/>
    <w:rsid w:val="000B3DE7"/>
    <w:rsid w:val="000B5579"/>
    <w:rsid w:val="000B584B"/>
    <w:rsid w:val="000B6B90"/>
    <w:rsid w:val="000B6F4B"/>
    <w:rsid w:val="000B712C"/>
    <w:rsid w:val="000B7F4E"/>
    <w:rsid w:val="000C05F5"/>
    <w:rsid w:val="000C088C"/>
    <w:rsid w:val="000C0A02"/>
    <w:rsid w:val="000C0B92"/>
    <w:rsid w:val="000C0D87"/>
    <w:rsid w:val="000C1700"/>
    <w:rsid w:val="000C1B92"/>
    <w:rsid w:val="000C1C1A"/>
    <w:rsid w:val="000C2157"/>
    <w:rsid w:val="000C218D"/>
    <w:rsid w:val="000C2EF9"/>
    <w:rsid w:val="000C3ACC"/>
    <w:rsid w:val="000C3B48"/>
    <w:rsid w:val="000C3F4A"/>
    <w:rsid w:val="000C40CA"/>
    <w:rsid w:val="000C497F"/>
    <w:rsid w:val="000C4C1D"/>
    <w:rsid w:val="000C4CDA"/>
    <w:rsid w:val="000C4F8C"/>
    <w:rsid w:val="000C5F85"/>
    <w:rsid w:val="000C65BE"/>
    <w:rsid w:val="000C65FF"/>
    <w:rsid w:val="000C6BE7"/>
    <w:rsid w:val="000C6C22"/>
    <w:rsid w:val="000C6FC1"/>
    <w:rsid w:val="000C742D"/>
    <w:rsid w:val="000C780B"/>
    <w:rsid w:val="000C7FEB"/>
    <w:rsid w:val="000D0053"/>
    <w:rsid w:val="000D0139"/>
    <w:rsid w:val="000D0327"/>
    <w:rsid w:val="000D093A"/>
    <w:rsid w:val="000D0D57"/>
    <w:rsid w:val="000D237D"/>
    <w:rsid w:val="000D280E"/>
    <w:rsid w:val="000D39CF"/>
    <w:rsid w:val="000D3F0E"/>
    <w:rsid w:val="000D51B7"/>
    <w:rsid w:val="000D63BD"/>
    <w:rsid w:val="000D6AD1"/>
    <w:rsid w:val="000D6B99"/>
    <w:rsid w:val="000D6FE4"/>
    <w:rsid w:val="000D70F0"/>
    <w:rsid w:val="000D73D7"/>
    <w:rsid w:val="000D76B3"/>
    <w:rsid w:val="000D7B41"/>
    <w:rsid w:val="000D7DF4"/>
    <w:rsid w:val="000E0439"/>
    <w:rsid w:val="000E07CD"/>
    <w:rsid w:val="000E1178"/>
    <w:rsid w:val="000E15F7"/>
    <w:rsid w:val="000E1649"/>
    <w:rsid w:val="000E16EB"/>
    <w:rsid w:val="000E1ECC"/>
    <w:rsid w:val="000E2594"/>
    <w:rsid w:val="000E2762"/>
    <w:rsid w:val="000E282D"/>
    <w:rsid w:val="000E2C74"/>
    <w:rsid w:val="000E2DD9"/>
    <w:rsid w:val="000E4F33"/>
    <w:rsid w:val="000E52BB"/>
    <w:rsid w:val="000E57C3"/>
    <w:rsid w:val="000E5C43"/>
    <w:rsid w:val="000E601A"/>
    <w:rsid w:val="000E7026"/>
    <w:rsid w:val="000E70FA"/>
    <w:rsid w:val="000E77C1"/>
    <w:rsid w:val="000E7B6F"/>
    <w:rsid w:val="000F02C8"/>
    <w:rsid w:val="000F1067"/>
    <w:rsid w:val="000F1155"/>
    <w:rsid w:val="000F1A3D"/>
    <w:rsid w:val="000F1AF0"/>
    <w:rsid w:val="000F1E06"/>
    <w:rsid w:val="000F1FA5"/>
    <w:rsid w:val="000F217E"/>
    <w:rsid w:val="000F241B"/>
    <w:rsid w:val="000F2439"/>
    <w:rsid w:val="000F2898"/>
    <w:rsid w:val="000F28FB"/>
    <w:rsid w:val="000F318F"/>
    <w:rsid w:val="000F3498"/>
    <w:rsid w:val="000F39BB"/>
    <w:rsid w:val="000F3AC1"/>
    <w:rsid w:val="000F3D44"/>
    <w:rsid w:val="000F41C5"/>
    <w:rsid w:val="000F5E91"/>
    <w:rsid w:val="000F6288"/>
    <w:rsid w:val="000F629F"/>
    <w:rsid w:val="000F6532"/>
    <w:rsid w:val="000F7200"/>
    <w:rsid w:val="0010156B"/>
    <w:rsid w:val="001026C9"/>
    <w:rsid w:val="00103672"/>
    <w:rsid w:val="00103A2E"/>
    <w:rsid w:val="0010471D"/>
    <w:rsid w:val="00105C05"/>
    <w:rsid w:val="00105C5D"/>
    <w:rsid w:val="00105CBA"/>
    <w:rsid w:val="00105DDE"/>
    <w:rsid w:val="00105F63"/>
    <w:rsid w:val="00107840"/>
    <w:rsid w:val="0010785A"/>
    <w:rsid w:val="00107DFB"/>
    <w:rsid w:val="0011010F"/>
    <w:rsid w:val="00110220"/>
    <w:rsid w:val="001107A1"/>
    <w:rsid w:val="00110963"/>
    <w:rsid w:val="00111748"/>
    <w:rsid w:val="001125D0"/>
    <w:rsid w:val="001126A8"/>
    <w:rsid w:val="001139E3"/>
    <w:rsid w:val="00113B98"/>
    <w:rsid w:val="00113C4E"/>
    <w:rsid w:val="00113E1E"/>
    <w:rsid w:val="00114767"/>
    <w:rsid w:val="00114914"/>
    <w:rsid w:val="00114A3C"/>
    <w:rsid w:val="00114D4D"/>
    <w:rsid w:val="0011596E"/>
    <w:rsid w:val="00115D29"/>
    <w:rsid w:val="00116D41"/>
    <w:rsid w:val="00116ED2"/>
    <w:rsid w:val="00120223"/>
    <w:rsid w:val="0012024C"/>
    <w:rsid w:val="001202B5"/>
    <w:rsid w:val="001209CC"/>
    <w:rsid w:val="0012123B"/>
    <w:rsid w:val="00121C49"/>
    <w:rsid w:val="00121F42"/>
    <w:rsid w:val="001222D6"/>
    <w:rsid w:val="001224D0"/>
    <w:rsid w:val="00122E9E"/>
    <w:rsid w:val="00122EF4"/>
    <w:rsid w:val="0012329F"/>
    <w:rsid w:val="00124DC7"/>
    <w:rsid w:val="00125CD2"/>
    <w:rsid w:val="0013046A"/>
    <w:rsid w:val="00130714"/>
    <w:rsid w:val="00130F9D"/>
    <w:rsid w:val="00131594"/>
    <w:rsid w:val="00131609"/>
    <w:rsid w:val="00132607"/>
    <w:rsid w:val="00132C73"/>
    <w:rsid w:val="00134D77"/>
    <w:rsid w:val="00135049"/>
    <w:rsid w:val="0013506A"/>
    <w:rsid w:val="00135084"/>
    <w:rsid w:val="001354B5"/>
    <w:rsid w:val="00135634"/>
    <w:rsid w:val="00135936"/>
    <w:rsid w:val="00135C2F"/>
    <w:rsid w:val="00135F84"/>
    <w:rsid w:val="00136677"/>
    <w:rsid w:val="001370EF"/>
    <w:rsid w:val="00137EAD"/>
    <w:rsid w:val="001407DC"/>
    <w:rsid w:val="00140884"/>
    <w:rsid w:val="00141428"/>
    <w:rsid w:val="001415B6"/>
    <w:rsid w:val="0014244D"/>
    <w:rsid w:val="00142501"/>
    <w:rsid w:val="00142DEA"/>
    <w:rsid w:val="00143206"/>
    <w:rsid w:val="001432F1"/>
    <w:rsid w:val="0014490D"/>
    <w:rsid w:val="00144935"/>
    <w:rsid w:val="00144D0C"/>
    <w:rsid w:val="001456A3"/>
    <w:rsid w:val="0014784D"/>
    <w:rsid w:val="00150DB1"/>
    <w:rsid w:val="00150DEB"/>
    <w:rsid w:val="0015104C"/>
    <w:rsid w:val="0015143A"/>
    <w:rsid w:val="00151749"/>
    <w:rsid w:val="001520EB"/>
    <w:rsid w:val="00152234"/>
    <w:rsid w:val="001525F5"/>
    <w:rsid w:val="0015269D"/>
    <w:rsid w:val="00152BA9"/>
    <w:rsid w:val="00152C76"/>
    <w:rsid w:val="00153E72"/>
    <w:rsid w:val="001541BD"/>
    <w:rsid w:val="00154273"/>
    <w:rsid w:val="00154DE4"/>
    <w:rsid w:val="00154F24"/>
    <w:rsid w:val="00155198"/>
    <w:rsid w:val="001557F4"/>
    <w:rsid w:val="001574D4"/>
    <w:rsid w:val="0015759F"/>
    <w:rsid w:val="00157D3D"/>
    <w:rsid w:val="00160864"/>
    <w:rsid w:val="0016109B"/>
    <w:rsid w:val="00161A1A"/>
    <w:rsid w:val="00162F08"/>
    <w:rsid w:val="00163546"/>
    <w:rsid w:val="00163CB6"/>
    <w:rsid w:val="00163FCB"/>
    <w:rsid w:val="0016467E"/>
    <w:rsid w:val="001646C8"/>
    <w:rsid w:val="00164B16"/>
    <w:rsid w:val="00164CA1"/>
    <w:rsid w:val="00164CE1"/>
    <w:rsid w:val="00165EED"/>
    <w:rsid w:val="00166870"/>
    <w:rsid w:val="00166F43"/>
    <w:rsid w:val="001670F3"/>
    <w:rsid w:val="00167596"/>
    <w:rsid w:val="001677CE"/>
    <w:rsid w:val="00167F5C"/>
    <w:rsid w:val="00167F68"/>
    <w:rsid w:val="00170046"/>
    <w:rsid w:val="001700BF"/>
    <w:rsid w:val="00170212"/>
    <w:rsid w:val="00170413"/>
    <w:rsid w:val="00170823"/>
    <w:rsid w:val="00172002"/>
    <w:rsid w:val="00173113"/>
    <w:rsid w:val="0017337E"/>
    <w:rsid w:val="00173768"/>
    <w:rsid w:val="0017391B"/>
    <w:rsid w:val="0017397F"/>
    <w:rsid w:val="001739E6"/>
    <w:rsid w:val="001739EF"/>
    <w:rsid w:val="00174611"/>
    <w:rsid w:val="00174B31"/>
    <w:rsid w:val="00174D9D"/>
    <w:rsid w:val="00174FAD"/>
    <w:rsid w:val="001753B8"/>
    <w:rsid w:val="0017651F"/>
    <w:rsid w:val="001801E4"/>
    <w:rsid w:val="00180243"/>
    <w:rsid w:val="00180D08"/>
    <w:rsid w:val="00180DB7"/>
    <w:rsid w:val="001814D8"/>
    <w:rsid w:val="00182973"/>
    <w:rsid w:val="00183604"/>
    <w:rsid w:val="001836C4"/>
    <w:rsid w:val="00183EAB"/>
    <w:rsid w:val="0018606B"/>
    <w:rsid w:val="001862F0"/>
    <w:rsid w:val="00186584"/>
    <w:rsid w:val="0018787F"/>
    <w:rsid w:val="0018793A"/>
    <w:rsid w:val="0019017E"/>
    <w:rsid w:val="00190AEA"/>
    <w:rsid w:val="00190D4D"/>
    <w:rsid w:val="00191A84"/>
    <w:rsid w:val="0019253B"/>
    <w:rsid w:val="00192B50"/>
    <w:rsid w:val="001939B4"/>
    <w:rsid w:val="00195155"/>
    <w:rsid w:val="00195741"/>
    <w:rsid w:val="001957D4"/>
    <w:rsid w:val="0019592B"/>
    <w:rsid w:val="0019602D"/>
    <w:rsid w:val="00196324"/>
    <w:rsid w:val="00196353"/>
    <w:rsid w:val="00196C54"/>
    <w:rsid w:val="001974E5"/>
    <w:rsid w:val="0019791A"/>
    <w:rsid w:val="00197B3E"/>
    <w:rsid w:val="001A0D75"/>
    <w:rsid w:val="001A1501"/>
    <w:rsid w:val="001A20F1"/>
    <w:rsid w:val="001A2972"/>
    <w:rsid w:val="001A2E8A"/>
    <w:rsid w:val="001A360D"/>
    <w:rsid w:val="001A3CF2"/>
    <w:rsid w:val="001A423D"/>
    <w:rsid w:val="001A497B"/>
    <w:rsid w:val="001A4E3C"/>
    <w:rsid w:val="001A528C"/>
    <w:rsid w:val="001A599D"/>
    <w:rsid w:val="001A5A42"/>
    <w:rsid w:val="001A62BC"/>
    <w:rsid w:val="001A6646"/>
    <w:rsid w:val="001A6B59"/>
    <w:rsid w:val="001A7258"/>
    <w:rsid w:val="001A72F0"/>
    <w:rsid w:val="001A7A71"/>
    <w:rsid w:val="001A7A97"/>
    <w:rsid w:val="001B0241"/>
    <w:rsid w:val="001B03A1"/>
    <w:rsid w:val="001B0702"/>
    <w:rsid w:val="001B0E67"/>
    <w:rsid w:val="001B117B"/>
    <w:rsid w:val="001B2427"/>
    <w:rsid w:val="001B4180"/>
    <w:rsid w:val="001B5617"/>
    <w:rsid w:val="001B5791"/>
    <w:rsid w:val="001C01A2"/>
    <w:rsid w:val="001C168B"/>
    <w:rsid w:val="001C1C11"/>
    <w:rsid w:val="001C1E71"/>
    <w:rsid w:val="001C1FA2"/>
    <w:rsid w:val="001C20C2"/>
    <w:rsid w:val="001C2635"/>
    <w:rsid w:val="001C2DC5"/>
    <w:rsid w:val="001C354E"/>
    <w:rsid w:val="001C3692"/>
    <w:rsid w:val="001C36F9"/>
    <w:rsid w:val="001C3FD9"/>
    <w:rsid w:val="001C4148"/>
    <w:rsid w:val="001C4241"/>
    <w:rsid w:val="001C48A3"/>
    <w:rsid w:val="001C4D05"/>
    <w:rsid w:val="001C4EB7"/>
    <w:rsid w:val="001C5057"/>
    <w:rsid w:val="001C517F"/>
    <w:rsid w:val="001C6011"/>
    <w:rsid w:val="001C64DA"/>
    <w:rsid w:val="001C67A0"/>
    <w:rsid w:val="001C7112"/>
    <w:rsid w:val="001C7BFA"/>
    <w:rsid w:val="001D028C"/>
    <w:rsid w:val="001D0921"/>
    <w:rsid w:val="001D14E6"/>
    <w:rsid w:val="001D1A09"/>
    <w:rsid w:val="001D1BFB"/>
    <w:rsid w:val="001D24FA"/>
    <w:rsid w:val="001D4186"/>
    <w:rsid w:val="001D474F"/>
    <w:rsid w:val="001D4DC2"/>
    <w:rsid w:val="001D52D7"/>
    <w:rsid w:val="001D533B"/>
    <w:rsid w:val="001D5486"/>
    <w:rsid w:val="001D60D8"/>
    <w:rsid w:val="001D678F"/>
    <w:rsid w:val="001D6864"/>
    <w:rsid w:val="001D6BE4"/>
    <w:rsid w:val="001D6D3F"/>
    <w:rsid w:val="001D73E1"/>
    <w:rsid w:val="001D749E"/>
    <w:rsid w:val="001E0A76"/>
    <w:rsid w:val="001E0C73"/>
    <w:rsid w:val="001E20B6"/>
    <w:rsid w:val="001E2714"/>
    <w:rsid w:val="001E34DA"/>
    <w:rsid w:val="001E46A6"/>
    <w:rsid w:val="001E5101"/>
    <w:rsid w:val="001E5181"/>
    <w:rsid w:val="001E6226"/>
    <w:rsid w:val="001E6AF4"/>
    <w:rsid w:val="001E7289"/>
    <w:rsid w:val="001F0237"/>
    <w:rsid w:val="001F1611"/>
    <w:rsid w:val="001F17AF"/>
    <w:rsid w:val="001F23DA"/>
    <w:rsid w:val="001F2C11"/>
    <w:rsid w:val="001F2F4B"/>
    <w:rsid w:val="001F3390"/>
    <w:rsid w:val="001F347A"/>
    <w:rsid w:val="001F3861"/>
    <w:rsid w:val="001F3E35"/>
    <w:rsid w:val="001F4123"/>
    <w:rsid w:val="001F5637"/>
    <w:rsid w:val="001F56F2"/>
    <w:rsid w:val="001F6F6F"/>
    <w:rsid w:val="001F73BF"/>
    <w:rsid w:val="001F75F3"/>
    <w:rsid w:val="002002C8"/>
    <w:rsid w:val="00200304"/>
    <w:rsid w:val="00201272"/>
    <w:rsid w:val="00201929"/>
    <w:rsid w:val="00201EBF"/>
    <w:rsid w:val="00202C11"/>
    <w:rsid w:val="00202FBE"/>
    <w:rsid w:val="0020363E"/>
    <w:rsid w:val="00203CD7"/>
    <w:rsid w:val="00203EA2"/>
    <w:rsid w:val="00204592"/>
    <w:rsid w:val="00204E5B"/>
    <w:rsid w:val="0020521A"/>
    <w:rsid w:val="002052A5"/>
    <w:rsid w:val="00206183"/>
    <w:rsid w:val="002062A4"/>
    <w:rsid w:val="0020679A"/>
    <w:rsid w:val="002067D9"/>
    <w:rsid w:val="002075DE"/>
    <w:rsid w:val="00207CC7"/>
    <w:rsid w:val="00207EB6"/>
    <w:rsid w:val="00210449"/>
    <w:rsid w:val="00210669"/>
    <w:rsid w:val="002107DB"/>
    <w:rsid w:val="00211343"/>
    <w:rsid w:val="002114C0"/>
    <w:rsid w:val="00211534"/>
    <w:rsid w:val="00211557"/>
    <w:rsid w:val="002116D5"/>
    <w:rsid w:val="00211706"/>
    <w:rsid w:val="00211734"/>
    <w:rsid w:val="002122B4"/>
    <w:rsid w:val="00212DB5"/>
    <w:rsid w:val="00214004"/>
    <w:rsid w:val="00214A02"/>
    <w:rsid w:val="00214A63"/>
    <w:rsid w:val="00214FAA"/>
    <w:rsid w:val="00215030"/>
    <w:rsid w:val="00215AB1"/>
    <w:rsid w:val="00216025"/>
    <w:rsid w:val="0021628D"/>
    <w:rsid w:val="002163B3"/>
    <w:rsid w:val="00216742"/>
    <w:rsid w:val="00216CDD"/>
    <w:rsid w:val="00216F66"/>
    <w:rsid w:val="002170C7"/>
    <w:rsid w:val="002171B6"/>
    <w:rsid w:val="00217CF6"/>
    <w:rsid w:val="002201E1"/>
    <w:rsid w:val="00220249"/>
    <w:rsid w:val="0022054B"/>
    <w:rsid w:val="0022065C"/>
    <w:rsid w:val="00220760"/>
    <w:rsid w:val="00220931"/>
    <w:rsid w:val="00220BAC"/>
    <w:rsid w:val="002223B6"/>
    <w:rsid w:val="00222597"/>
    <w:rsid w:val="00223F9E"/>
    <w:rsid w:val="00224441"/>
    <w:rsid w:val="0022475E"/>
    <w:rsid w:val="00226B00"/>
    <w:rsid w:val="0022782E"/>
    <w:rsid w:val="00230797"/>
    <w:rsid w:val="002315A9"/>
    <w:rsid w:val="00231B50"/>
    <w:rsid w:val="00231C37"/>
    <w:rsid w:val="00231F3B"/>
    <w:rsid w:val="00232804"/>
    <w:rsid w:val="00232D1D"/>
    <w:rsid w:val="00233AF1"/>
    <w:rsid w:val="00234179"/>
    <w:rsid w:val="00234628"/>
    <w:rsid w:val="002348AC"/>
    <w:rsid w:val="00234A7C"/>
    <w:rsid w:val="00235228"/>
    <w:rsid w:val="00235BE9"/>
    <w:rsid w:val="0023647C"/>
    <w:rsid w:val="00236519"/>
    <w:rsid w:val="0023665E"/>
    <w:rsid w:val="002379B8"/>
    <w:rsid w:val="00237B85"/>
    <w:rsid w:val="002400A7"/>
    <w:rsid w:val="00241196"/>
    <w:rsid w:val="0024187F"/>
    <w:rsid w:val="00241892"/>
    <w:rsid w:val="00241C50"/>
    <w:rsid w:val="00242482"/>
    <w:rsid w:val="00243088"/>
    <w:rsid w:val="00243351"/>
    <w:rsid w:val="00243C2D"/>
    <w:rsid w:val="00243DAC"/>
    <w:rsid w:val="00244BE3"/>
    <w:rsid w:val="00245116"/>
    <w:rsid w:val="0024515F"/>
    <w:rsid w:val="00245310"/>
    <w:rsid w:val="00245A45"/>
    <w:rsid w:val="00245D0B"/>
    <w:rsid w:val="00245FA3"/>
    <w:rsid w:val="00246437"/>
    <w:rsid w:val="00246916"/>
    <w:rsid w:val="00246B16"/>
    <w:rsid w:val="00246D2B"/>
    <w:rsid w:val="00247529"/>
    <w:rsid w:val="002478F3"/>
    <w:rsid w:val="00247979"/>
    <w:rsid w:val="002507E3"/>
    <w:rsid w:val="0025083D"/>
    <w:rsid w:val="002513EE"/>
    <w:rsid w:val="00251789"/>
    <w:rsid w:val="00251A41"/>
    <w:rsid w:val="00251BE7"/>
    <w:rsid w:val="002525AD"/>
    <w:rsid w:val="00252E76"/>
    <w:rsid w:val="00253011"/>
    <w:rsid w:val="002534FC"/>
    <w:rsid w:val="002536DB"/>
    <w:rsid w:val="00254345"/>
    <w:rsid w:val="00254D4B"/>
    <w:rsid w:val="002551D2"/>
    <w:rsid w:val="0025559F"/>
    <w:rsid w:val="00255E80"/>
    <w:rsid w:val="00256697"/>
    <w:rsid w:val="002568B6"/>
    <w:rsid w:val="00256B85"/>
    <w:rsid w:val="00257237"/>
    <w:rsid w:val="00257AA2"/>
    <w:rsid w:val="00261441"/>
    <w:rsid w:val="002620B7"/>
    <w:rsid w:val="00262A6F"/>
    <w:rsid w:val="00262FE8"/>
    <w:rsid w:val="002630B1"/>
    <w:rsid w:val="00263544"/>
    <w:rsid w:val="00263E66"/>
    <w:rsid w:val="00264B53"/>
    <w:rsid w:val="00265025"/>
    <w:rsid w:val="00265125"/>
    <w:rsid w:val="002659F9"/>
    <w:rsid w:val="002662CD"/>
    <w:rsid w:val="00266399"/>
    <w:rsid w:val="00266C4C"/>
    <w:rsid w:val="0026706C"/>
    <w:rsid w:val="00267FD0"/>
    <w:rsid w:val="00270060"/>
    <w:rsid w:val="002704B9"/>
    <w:rsid w:val="00271141"/>
    <w:rsid w:val="00271B02"/>
    <w:rsid w:val="00271E04"/>
    <w:rsid w:val="00272782"/>
    <w:rsid w:val="00272AAC"/>
    <w:rsid w:val="00273302"/>
    <w:rsid w:val="002740BC"/>
    <w:rsid w:val="00274502"/>
    <w:rsid w:val="00274633"/>
    <w:rsid w:val="00274B8F"/>
    <w:rsid w:val="00274D99"/>
    <w:rsid w:val="002751D0"/>
    <w:rsid w:val="00276D9D"/>
    <w:rsid w:val="00276E75"/>
    <w:rsid w:val="002774C3"/>
    <w:rsid w:val="00280ACF"/>
    <w:rsid w:val="00281537"/>
    <w:rsid w:val="00281E0B"/>
    <w:rsid w:val="00282C21"/>
    <w:rsid w:val="00282D1B"/>
    <w:rsid w:val="0028306C"/>
    <w:rsid w:val="0028306E"/>
    <w:rsid w:val="00283FDD"/>
    <w:rsid w:val="0028435F"/>
    <w:rsid w:val="00284827"/>
    <w:rsid w:val="00285481"/>
    <w:rsid w:val="00285FE0"/>
    <w:rsid w:val="00285FEA"/>
    <w:rsid w:val="00286157"/>
    <w:rsid w:val="002873D6"/>
    <w:rsid w:val="00290375"/>
    <w:rsid w:val="00292154"/>
    <w:rsid w:val="00292EA3"/>
    <w:rsid w:val="00293AE9"/>
    <w:rsid w:val="00293DB7"/>
    <w:rsid w:val="002948C7"/>
    <w:rsid w:val="00294A8C"/>
    <w:rsid w:val="00296289"/>
    <w:rsid w:val="002964A9"/>
    <w:rsid w:val="00297821"/>
    <w:rsid w:val="002A0228"/>
    <w:rsid w:val="002A060B"/>
    <w:rsid w:val="002A0AE7"/>
    <w:rsid w:val="002A0DBF"/>
    <w:rsid w:val="002A150D"/>
    <w:rsid w:val="002A1568"/>
    <w:rsid w:val="002A18B6"/>
    <w:rsid w:val="002A1A58"/>
    <w:rsid w:val="002A2399"/>
    <w:rsid w:val="002A30E6"/>
    <w:rsid w:val="002A4BFC"/>
    <w:rsid w:val="002A4DF1"/>
    <w:rsid w:val="002A510A"/>
    <w:rsid w:val="002A5203"/>
    <w:rsid w:val="002A56BB"/>
    <w:rsid w:val="002A57ED"/>
    <w:rsid w:val="002A5FDF"/>
    <w:rsid w:val="002A612F"/>
    <w:rsid w:val="002A685C"/>
    <w:rsid w:val="002A6F97"/>
    <w:rsid w:val="002A72D0"/>
    <w:rsid w:val="002A795B"/>
    <w:rsid w:val="002B0184"/>
    <w:rsid w:val="002B0336"/>
    <w:rsid w:val="002B03AC"/>
    <w:rsid w:val="002B04D3"/>
    <w:rsid w:val="002B07D5"/>
    <w:rsid w:val="002B082D"/>
    <w:rsid w:val="002B0DE2"/>
    <w:rsid w:val="002B13A4"/>
    <w:rsid w:val="002B1D50"/>
    <w:rsid w:val="002B1F83"/>
    <w:rsid w:val="002B24A7"/>
    <w:rsid w:val="002B33CF"/>
    <w:rsid w:val="002B3862"/>
    <w:rsid w:val="002B39FC"/>
    <w:rsid w:val="002B49A9"/>
    <w:rsid w:val="002B5024"/>
    <w:rsid w:val="002B569E"/>
    <w:rsid w:val="002B578B"/>
    <w:rsid w:val="002B621E"/>
    <w:rsid w:val="002B6261"/>
    <w:rsid w:val="002B66CD"/>
    <w:rsid w:val="002B67BD"/>
    <w:rsid w:val="002B714D"/>
    <w:rsid w:val="002B7199"/>
    <w:rsid w:val="002B7A2F"/>
    <w:rsid w:val="002B7A72"/>
    <w:rsid w:val="002B7C08"/>
    <w:rsid w:val="002B7CCE"/>
    <w:rsid w:val="002C06E9"/>
    <w:rsid w:val="002C1690"/>
    <w:rsid w:val="002C1D45"/>
    <w:rsid w:val="002C2672"/>
    <w:rsid w:val="002C2DB2"/>
    <w:rsid w:val="002C2E68"/>
    <w:rsid w:val="002C306F"/>
    <w:rsid w:val="002C3693"/>
    <w:rsid w:val="002C43CF"/>
    <w:rsid w:val="002C5146"/>
    <w:rsid w:val="002C5B73"/>
    <w:rsid w:val="002C5CE8"/>
    <w:rsid w:val="002C6AE9"/>
    <w:rsid w:val="002C6BA3"/>
    <w:rsid w:val="002C6D8F"/>
    <w:rsid w:val="002C75B4"/>
    <w:rsid w:val="002D0413"/>
    <w:rsid w:val="002D04FC"/>
    <w:rsid w:val="002D0B4B"/>
    <w:rsid w:val="002D11F3"/>
    <w:rsid w:val="002D1C96"/>
    <w:rsid w:val="002D1CB9"/>
    <w:rsid w:val="002D1D39"/>
    <w:rsid w:val="002D1F2B"/>
    <w:rsid w:val="002D237D"/>
    <w:rsid w:val="002D2651"/>
    <w:rsid w:val="002D2734"/>
    <w:rsid w:val="002D3505"/>
    <w:rsid w:val="002D4615"/>
    <w:rsid w:val="002D4C42"/>
    <w:rsid w:val="002D51D0"/>
    <w:rsid w:val="002D5A9B"/>
    <w:rsid w:val="002D5CED"/>
    <w:rsid w:val="002D632C"/>
    <w:rsid w:val="002D6D2B"/>
    <w:rsid w:val="002D6FC3"/>
    <w:rsid w:val="002D7387"/>
    <w:rsid w:val="002D759C"/>
    <w:rsid w:val="002D7626"/>
    <w:rsid w:val="002D7A27"/>
    <w:rsid w:val="002E0769"/>
    <w:rsid w:val="002E077B"/>
    <w:rsid w:val="002E0929"/>
    <w:rsid w:val="002E09BE"/>
    <w:rsid w:val="002E0C7D"/>
    <w:rsid w:val="002E0E94"/>
    <w:rsid w:val="002E1C1F"/>
    <w:rsid w:val="002E280E"/>
    <w:rsid w:val="002E2EC8"/>
    <w:rsid w:val="002E3F64"/>
    <w:rsid w:val="002E4888"/>
    <w:rsid w:val="002E49B0"/>
    <w:rsid w:val="002E52FC"/>
    <w:rsid w:val="002E5C20"/>
    <w:rsid w:val="002E5D9B"/>
    <w:rsid w:val="002E629C"/>
    <w:rsid w:val="002E6A1C"/>
    <w:rsid w:val="002E6C78"/>
    <w:rsid w:val="002E6CBC"/>
    <w:rsid w:val="002E6DE9"/>
    <w:rsid w:val="002E7525"/>
    <w:rsid w:val="002F0484"/>
    <w:rsid w:val="002F0812"/>
    <w:rsid w:val="002F0CBC"/>
    <w:rsid w:val="002F0E25"/>
    <w:rsid w:val="002F122F"/>
    <w:rsid w:val="002F145C"/>
    <w:rsid w:val="002F177A"/>
    <w:rsid w:val="002F20C8"/>
    <w:rsid w:val="002F2E5B"/>
    <w:rsid w:val="002F30BE"/>
    <w:rsid w:val="002F3401"/>
    <w:rsid w:val="002F6115"/>
    <w:rsid w:val="002F62C1"/>
    <w:rsid w:val="002F63C6"/>
    <w:rsid w:val="002F641C"/>
    <w:rsid w:val="002F6826"/>
    <w:rsid w:val="002F6D94"/>
    <w:rsid w:val="002F71C6"/>
    <w:rsid w:val="002F7900"/>
    <w:rsid w:val="002F7D9D"/>
    <w:rsid w:val="003008B3"/>
    <w:rsid w:val="00300EED"/>
    <w:rsid w:val="003015EA"/>
    <w:rsid w:val="00302296"/>
    <w:rsid w:val="003023FB"/>
    <w:rsid w:val="003025E6"/>
    <w:rsid w:val="00302740"/>
    <w:rsid w:val="00302C7D"/>
    <w:rsid w:val="00302D0E"/>
    <w:rsid w:val="003039CF"/>
    <w:rsid w:val="00304B95"/>
    <w:rsid w:val="00304DAF"/>
    <w:rsid w:val="003058B6"/>
    <w:rsid w:val="00305D0A"/>
    <w:rsid w:val="00306118"/>
    <w:rsid w:val="00306C66"/>
    <w:rsid w:val="00306D84"/>
    <w:rsid w:val="00307050"/>
    <w:rsid w:val="00307055"/>
    <w:rsid w:val="00307272"/>
    <w:rsid w:val="003074CC"/>
    <w:rsid w:val="00310376"/>
    <w:rsid w:val="0031110F"/>
    <w:rsid w:val="00311811"/>
    <w:rsid w:val="00313177"/>
    <w:rsid w:val="00313249"/>
    <w:rsid w:val="00313E10"/>
    <w:rsid w:val="00314625"/>
    <w:rsid w:val="00314FD8"/>
    <w:rsid w:val="003150FC"/>
    <w:rsid w:val="003151E8"/>
    <w:rsid w:val="0031555E"/>
    <w:rsid w:val="00315B65"/>
    <w:rsid w:val="00316648"/>
    <w:rsid w:val="00317085"/>
    <w:rsid w:val="0031724E"/>
    <w:rsid w:val="00317418"/>
    <w:rsid w:val="00317F6B"/>
    <w:rsid w:val="00320109"/>
    <w:rsid w:val="0032025D"/>
    <w:rsid w:val="0032037F"/>
    <w:rsid w:val="003207D2"/>
    <w:rsid w:val="00320AAB"/>
    <w:rsid w:val="003215E2"/>
    <w:rsid w:val="003217DF"/>
    <w:rsid w:val="00321C08"/>
    <w:rsid w:val="00322914"/>
    <w:rsid w:val="00322B0F"/>
    <w:rsid w:val="0032392C"/>
    <w:rsid w:val="00323B83"/>
    <w:rsid w:val="003243A3"/>
    <w:rsid w:val="00324468"/>
    <w:rsid w:val="00324DCE"/>
    <w:rsid w:val="00325516"/>
    <w:rsid w:val="0032714F"/>
    <w:rsid w:val="00327C85"/>
    <w:rsid w:val="003302B8"/>
    <w:rsid w:val="003304C4"/>
    <w:rsid w:val="00330776"/>
    <w:rsid w:val="00330E09"/>
    <w:rsid w:val="00332398"/>
    <w:rsid w:val="00332671"/>
    <w:rsid w:val="00332F51"/>
    <w:rsid w:val="003336F3"/>
    <w:rsid w:val="00333B55"/>
    <w:rsid w:val="0033445D"/>
    <w:rsid w:val="00334A32"/>
    <w:rsid w:val="00335286"/>
    <w:rsid w:val="00335E16"/>
    <w:rsid w:val="00336A0A"/>
    <w:rsid w:val="00336B6E"/>
    <w:rsid w:val="0033772D"/>
    <w:rsid w:val="00337D0D"/>
    <w:rsid w:val="00337D35"/>
    <w:rsid w:val="00337D86"/>
    <w:rsid w:val="003400D0"/>
    <w:rsid w:val="00340889"/>
    <w:rsid w:val="003408DA"/>
    <w:rsid w:val="00340DD5"/>
    <w:rsid w:val="00340EE7"/>
    <w:rsid w:val="0034113E"/>
    <w:rsid w:val="00341763"/>
    <w:rsid w:val="00341B61"/>
    <w:rsid w:val="00341B94"/>
    <w:rsid w:val="0034232D"/>
    <w:rsid w:val="003425C6"/>
    <w:rsid w:val="0034301C"/>
    <w:rsid w:val="00343168"/>
    <w:rsid w:val="00343296"/>
    <w:rsid w:val="00343BD2"/>
    <w:rsid w:val="003459B1"/>
    <w:rsid w:val="00345C8C"/>
    <w:rsid w:val="00345C95"/>
    <w:rsid w:val="00346101"/>
    <w:rsid w:val="003466C5"/>
    <w:rsid w:val="00347029"/>
    <w:rsid w:val="0034702C"/>
    <w:rsid w:val="0035004C"/>
    <w:rsid w:val="0035066A"/>
    <w:rsid w:val="00351374"/>
    <w:rsid w:val="00351D7C"/>
    <w:rsid w:val="0035221A"/>
    <w:rsid w:val="00352FA4"/>
    <w:rsid w:val="00353375"/>
    <w:rsid w:val="003541E8"/>
    <w:rsid w:val="003542F4"/>
    <w:rsid w:val="0035431A"/>
    <w:rsid w:val="00354336"/>
    <w:rsid w:val="0035448F"/>
    <w:rsid w:val="003547FD"/>
    <w:rsid w:val="00354F23"/>
    <w:rsid w:val="00354FDF"/>
    <w:rsid w:val="003559EB"/>
    <w:rsid w:val="0035647B"/>
    <w:rsid w:val="00356E58"/>
    <w:rsid w:val="00357553"/>
    <w:rsid w:val="00357802"/>
    <w:rsid w:val="00357AA6"/>
    <w:rsid w:val="00357C6C"/>
    <w:rsid w:val="00357C84"/>
    <w:rsid w:val="00360102"/>
    <w:rsid w:val="003602A3"/>
    <w:rsid w:val="00360684"/>
    <w:rsid w:val="0036099B"/>
    <w:rsid w:val="00361AF5"/>
    <w:rsid w:val="003621B0"/>
    <w:rsid w:val="00362808"/>
    <w:rsid w:val="00362989"/>
    <w:rsid w:val="003638FE"/>
    <w:rsid w:val="00363965"/>
    <w:rsid w:val="003640AA"/>
    <w:rsid w:val="0036444A"/>
    <w:rsid w:val="00364852"/>
    <w:rsid w:val="00365BD3"/>
    <w:rsid w:val="00365C41"/>
    <w:rsid w:val="00366DB1"/>
    <w:rsid w:val="00366F19"/>
    <w:rsid w:val="003671E9"/>
    <w:rsid w:val="00367370"/>
    <w:rsid w:val="003673E9"/>
    <w:rsid w:val="00367501"/>
    <w:rsid w:val="00367E80"/>
    <w:rsid w:val="00371234"/>
    <w:rsid w:val="0037141A"/>
    <w:rsid w:val="00371F45"/>
    <w:rsid w:val="00372ED8"/>
    <w:rsid w:val="00373217"/>
    <w:rsid w:val="00373A11"/>
    <w:rsid w:val="00373D57"/>
    <w:rsid w:val="00374480"/>
    <w:rsid w:val="003747CC"/>
    <w:rsid w:val="00374E66"/>
    <w:rsid w:val="00374F86"/>
    <w:rsid w:val="0037502F"/>
    <w:rsid w:val="0037547C"/>
    <w:rsid w:val="00375DAF"/>
    <w:rsid w:val="0037647D"/>
    <w:rsid w:val="003770A1"/>
    <w:rsid w:val="00377B53"/>
    <w:rsid w:val="0038125C"/>
    <w:rsid w:val="00381378"/>
    <w:rsid w:val="0038232D"/>
    <w:rsid w:val="00382346"/>
    <w:rsid w:val="00382BDC"/>
    <w:rsid w:val="003834BF"/>
    <w:rsid w:val="003837CA"/>
    <w:rsid w:val="00383B8D"/>
    <w:rsid w:val="003840BE"/>
    <w:rsid w:val="003841B3"/>
    <w:rsid w:val="003848D4"/>
    <w:rsid w:val="003853C6"/>
    <w:rsid w:val="0038545D"/>
    <w:rsid w:val="00385B2C"/>
    <w:rsid w:val="0038632E"/>
    <w:rsid w:val="00386362"/>
    <w:rsid w:val="00386659"/>
    <w:rsid w:val="0038696C"/>
    <w:rsid w:val="00386A79"/>
    <w:rsid w:val="00386BBA"/>
    <w:rsid w:val="00387A3B"/>
    <w:rsid w:val="00387B4A"/>
    <w:rsid w:val="00387CD5"/>
    <w:rsid w:val="00387D30"/>
    <w:rsid w:val="00390004"/>
    <w:rsid w:val="003902A0"/>
    <w:rsid w:val="003904A1"/>
    <w:rsid w:val="00390806"/>
    <w:rsid w:val="00390A9B"/>
    <w:rsid w:val="00391373"/>
    <w:rsid w:val="003913DF"/>
    <w:rsid w:val="003918B8"/>
    <w:rsid w:val="0039254E"/>
    <w:rsid w:val="003927C3"/>
    <w:rsid w:val="00392B08"/>
    <w:rsid w:val="00393224"/>
    <w:rsid w:val="003941CC"/>
    <w:rsid w:val="0039423C"/>
    <w:rsid w:val="00394589"/>
    <w:rsid w:val="0039497B"/>
    <w:rsid w:val="00394CBD"/>
    <w:rsid w:val="0039593B"/>
    <w:rsid w:val="00395A69"/>
    <w:rsid w:val="00395CAD"/>
    <w:rsid w:val="00395CD1"/>
    <w:rsid w:val="0039648B"/>
    <w:rsid w:val="00397377"/>
    <w:rsid w:val="0039769E"/>
    <w:rsid w:val="00397752"/>
    <w:rsid w:val="003A0318"/>
    <w:rsid w:val="003A0CA6"/>
    <w:rsid w:val="003A155D"/>
    <w:rsid w:val="003A1A2E"/>
    <w:rsid w:val="003A1A9C"/>
    <w:rsid w:val="003A20F7"/>
    <w:rsid w:val="003A2453"/>
    <w:rsid w:val="003A2B28"/>
    <w:rsid w:val="003A2BD6"/>
    <w:rsid w:val="003A3610"/>
    <w:rsid w:val="003A369A"/>
    <w:rsid w:val="003A3B4B"/>
    <w:rsid w:val="003A4200"/>
    <w:rsid w:val="003A44D5"/>
    <w:rsid w:val="003A47D9"/>
    <w:rsid w:val="003A5DD8"/>
    <w:rsid w:val="003A5E6D"/>
    <w:rsid w:val="003A635E"/>
    <w:rsid w:val="003A7264"/>
    <w:rsid w:val="003A773B"/>
    <w:rsid w:val="003A78F7"/>
    <w:rsid w:val="003A799B"/>
    <w:rsid w:val="003A7F17"/>
    <w:rsid w:val="003B0524"/>
    <w:rsid w:val="003B1810"/>
    <w:rsid w:val="003B30AB"/>
    <w:rsid w:val="003B4AAF"/>
    <w:rsid w:val="003B55C3"/>
    <w:rsid w:val="003B5840"/>
    <w:rsid w:val="003B6D1A"/>
    <w:rsid w:val="003B77B7"/>
    <w:rsid w:val="003B79DB"/>
    <w:rsid w:val="003C0310"/>
    <w:rsid w:val="003C053B"/>
    <w:rsid w:val="003C0E8D"/>
    <w:rsid w:val="003C119C"/>
    <w:rsid w:val="003C1313"/>
    <w:rsid w:val="003C1460"/>
    <w:rsid w:val="003C16EA"/>
    <w:rsid w:val="003C212D"/>
    <w:rsid w:val="003C259C"/>
    <w:rsid w:val="003C2A1F"/>
    <w:rsid w:val="003C3656"/>
    <w:rsid w:val="003C36E6"/>
    <w:rsid w:val="003C370A"/>
    <w:rsid w:val="003C4D26"/>
    <w:rsid w:val="003C59C5"/>
    <w:rsid w:val="003C5C15"/>
    <w:rsid w:val="003C5E03"/>
    <w:rsid w:val="003C685D"/>
    <w:rsid w:val="003C6911"/>
    <w:rsid w:val="003C72A2"/>
    <w:rsid w:val="003C748A"/>
    <w:rsid w:val="003C7608"/>
    <w:rsid w:val="003C7C8B"/>
    <w:rsid w:val="003C7EDC"/>
    <w:rsid w:val="003D071A"/>
    <w:rsid w:val="003D0C80"/>
    <w:rsid w:val="003D0C83"/>
    <w:rsid w:val="003D127E"/>
    <w:rsid w:val="003D1597"/>
    <w:rsid w:val="003D2063"/>
    <w:rsid w:val="003D21F4"/>
    <w:rsid w:val="003D27D8"/>
    <w:rsid w:val="003D2B2B"/>
    <w:rsid w:val="003D3566"/>
    <w:rsid w:val="003D47E7"/>
    <w:rsid w:val="003D4B8B"/>
    <w:rsid w:val="003D4C27"/>
    <w:rsid w:val="003D52D3"/>
    <w:rsid w:val="003D789D"/>
    <w:rsid w:val="003E0A1B"/>
    <w:rsid w:val="003E0C70"/>
    <w:rsid w:val="003E1B7A"/>
    <w:rsid w:val="003E1F44"/>
    <w:rsid w:val="003E26BF"/>
    <w:rsid w:val="003E2DBB"/>
    <w:rsid w:val="003E343F"/>
    <w:rsid w:val="003E6131"/>
    <w:rsid w:val="003E6305"/>
    <w:rsid w:val="003E6613"/>
    <w:rsid w:val="003E6845"/>
    <w:rsid w:val="003E7994"/>
    <w:rsid w:val="003E7EA2"/>
    <w:rsid w:val="003F1538"/>
    <w:rsid w:val="003F1FDA"/>
    <w:rsid w:val="003F216C"/>
    <w:rsid w:val="003F23B1"/>
    <w:rsid w:val="003F243B"/>
    <w:rsid w:val="003F2AC5"/>
    <w:rsid w:val="003F2B54"/>
    <w:rsid w:val="003F363D"/>
    <w:rsid w:val="003F3CBB"/>
    <w:rsid w:val="003F3F36"/>
    <w:rsid w:val="003F52F8"/>
    <w:rsid w:val="003F58CA"/>
    <w:rsid w:val="003F5DD6"/>
    <w:rsid w:val="003F735C"/>
    <w:rsid w:val="003F7D8C"/>
    <w:rsid w:val="00400095"/>
    <w:rsid w:val="004003FA"/>
    <w:rsid w:val="00400BEF"/>
    <w:rsid w:val="0040118E"/>
    <w:rsid w:val="00401A21"/>
    <w:rsid w:val="00401B58"/>
    <w:rsid w:val="00401ED1"/>
    <w:rsid w:val="00403D60"/>
    <w:rsid w:val="00403ECD"/>
    <w:rsid w:val="004044DE"/>
    <w:rsid w:val="004052D8"/>
    <w:rsid w:val="0040575F"/>
    <w:rsid w:val="004057FD"/>
    <w:rsid w:val="0040593B"/>
    <w:rsid w:val="00405A0F"/>
    <w:rsid w:val="00407E66"/>
    <w:rsid w:val="004105B4"/>
    <w:rsid w:val="004107FD"/>
    <w:rsid w:val="00410946"/>
    <w:rsid w:val="00411994"/>
    <w:rsid w:val="00412524"/>
    <w:rsid w:val="0041259B"/>
    <w:rsid w:val="00412B19"/>
    <w:rsid w:val="00412B31"/>
    <w:rsid w:val="00412E98"/>
    <w:rsid w:val="004152CA"/>
    <w:rsid w:val="00416075"/>
    <w:rsid w:val="004164A5"/>
    <w:rsid w:val="00416D6E"/>
    <w:rsid w:val="00416DA4"/>
    <w:rsid w:val="0041762C"/>
    <w:rsid w:val="00417A26"/>
    <w:rsid w:val="00417EF3"/>
    <w:rsid w:val="004204D7"/>
    <w:rsid w:val="00420B9F"/>
    <w:rsid w:val="00420E52"/>
    <w:rsid w:val="004210CC"/>
    <w:rsid w:val="00421B8E"/>
    <w:rsid w:val="00422364"/>
    <w:rsid w:val="00423871"/>
    <w:rsid w:val="00423915"/>
    <w:rsid w:val="00423B3B"/>
    <w:rsid w:val="00424202"/>
    <w:rsid w:val="004243D2"/>
    <w:rsid w:val="00424AAA"/>
    <w:rsid w:val="00424F15"/>
    <w:rsid w:val="00424F1F"/>
    <w:rsid w:val="00424F57"/>
    <w:rsid w:val="0042501A"/>
    <w:rsid w:val="004250A4"/>
    <w:rsid w:val="0042521D"/>
    <w:rsid w:val="004252F8"/>
    <w:rsid w:val="004255EB"/>
    <w:rsid w:val="0042571C"/>
    <w:rsid w:val="00425946"/>
    <w:rsid w:val="00425C2C"/>
    <w:rsid w:val="00427C56"/>
    <w:rsid w:val="00427F94"/>
    <w:rsid w:val="0043047D"/>
    <w:rsid w:val="00431583"/>
    <w:rsid w:val="004315C8"/>
    <w:rsid w:val="00431C36"/>
    <w:rsid w:val="00431D51"/>
    <w:rsid w:val="004320EA"/>
    <w:rsid w:val="004322C8"/>
    <w:rsid w:val="004323F1"/>
    <w:rsid w:val="00432F28"/>
    <w:rsid w:val="004331E1"/>
    <w:rsid w:val="00433F00"/>
    <w:rsid w:val="00434A51"/>
    <w:rsid w:val="00434F68"/>
    <w:rsid w:val="00435864"/>
    <w:rsid w:val="00436018"/>
    <w:rsid w:val="0043646E"/>
    <w:rsid w:val="00436713"/>
    <w:rsid w:val="00437B64"/>
    <w:rsid w:val="00437C8C"/>
    <w:rsid w:val="00440315"/>
    <w:rsid w:val="00440334"/>
    <w:rsid w:val="004405A5"/>
    <w:rsid w:val="00440AF0"/>
    <w:rsid w:val="004417AB"/>
    <w:rsid w:val="004418B0"/>
    <w:rsid w:val="00441D16"/>
    <w:rsid w:val="00441F3A"/>
    <w:rsid w:val="004420A2"/>
    <w:rsid w:val="00442668"/>
    <w:rsid w:val="0044277A"/>
    <w:rsid w:val="004427E4"/>
    <w:rsid w:val="004428BE"/>
    <w:rsid w:val="0044310E"/>
    <w:rsid w:val="00443AC4"/>
    <w:rsid w:val="00443C0E"/>
    <w:rsid w:val="00443D40"/>
    <w:rsid w:val="00443F3B"/>
    <w:rsid w:val="00444397"/>
    <w:rsid w:val="00444491"/>
    <w:rsid w:val="00444828"/>
    <w:rsid w:val="00444E4C"/>
    <w:rsid w:val="0044506E"/>
    <w:rsid w:val="00446C42"/>
    <w:rsid w:val="00446FFC"/>
    <w:rsid w:val="00447AF6"/>
    <w:rsid w:val="004503DF"/>
    <w:rsid w:val="00450550"/>
    <w:rsid w:val="004507A5"/>
    <w:rsid w:val="00450834"/>
    <w:rsid w:val="004518AE"/>
    <w:rsid w:val="00452064"/>
    <w:rsid w:val="004528FE"/>
    <w:rsid w:val="0045415C"/>
    <w:rsid w:val="0045445D"/>
    <w:rsid w:val="00454970"/>
    <w:rsid w:val="00454E36"/>
    <w:rsid w:val="0045554E"/>
    <w:rsid w:val="00455BA5"/>
    <w:rsid w:val="004564A5"/>
    <w:rsid w:val="00456D1A"/>
    <w:rsid w:val="00456ED3"/>
    <w:rsid w:val="004577D6"/>
    <w:rsid w:val="00457C40"/>
    <w:rsid w:val="00460385"/>
    <w:rsid w:val="0046070A"/>
    <w:rsid w:val="00460A82"/>
    <w:rsid w:val="00460D80"/>
    <w:rsid w:val="00461666"/>
    <w:rsid w:val="004622A7"/>
    <w:rsid w:val="00463E44"/>
    <w:rsid w:val="00463EA0"/>
    <w:rsid w:val="00463ED0"/>
    <w:rsid w:val="00464559"/>
    <w:rsid w:val="00464D28"/>
    <w:rsid w:val="00464FF2"/>
    <w:rsid w:val="004651B1"/>
    <w:rsid w:val="004656BD"/>
    <w:rsid w:val="004669BB"/>
    <w:rsid w:val="00467599"/>
    <w:rsid w:val="00467C14"/>
    <w:rsid w:val="00470984"/>
    <w:rsid w:val="00470C6D"/>
    <w:rsid w:val="00470C99"/>
    <w:rsid w:val="00470FFF"/>
    <w:rsid w:val="00471624"/>
    <w:rsid w:val="004723CA"/>
    <w:rsid w:val="00472533"/>
    <w:rsid w:val="00473284"/>
    <w:rsid w:val="004734A0"/>
    <w:rsid w:val="0047371E"/>
    <w:rsid w:val="004738BB"/>
    <w:rsid w:val="00474003"/>
    <w:rsid w:val="00474039"/>
    <w:rsid w:val="00474E1B"/>
    <w:rsid w:val="00474E40"/>
    <w:rsid w:val="00474EF6"/>
    <w:rsid w:val="004752C1"/>
    <w:rsid w:val="004753DD"/>
    <w:rsid w:val="004754D2"/>
    <w:rsid w:val="00475F39"/>
    <w:rsid w:val="00476682"/>
    <w:rsid w:val="00476B8F"/>
    <w:rsid w:val="00476D4C"/>
    <w:rsid w:val="00476E26"/>
    <w:rsid w:val="00476EB1"/>
    <w:rsid w:val="004774C3"/>
    <w:rsid w:val="00480789"/>
    <w:rsid w:val="00480C16"/>
    <w:rsid w:val="0048109F"/>
    <w:rsid w:val="00481A9D"/>
    <w:rsid w:val="00481E84"/>
    <w:rsid w:val="004822BD"/>
    <w:rsid w:val="0048263D"/>
    <w:rsid w:val="004841DA"/>
    <w:rsid w:val="00484B5E"/>
    <w:rsid w:val="00486585"/>
    <w:rsid w:val="004872C0"/>
    <w:rsid w:val="00487A8E"/>
    <w:rsid w:val="00490101"/>
    <w:rsid w:val="004906F5"/>
    <w:rsid w:val="004917DB"/>
    <w:rsid w:val="004918F8"/>
    <w:rsid w:val="00491A43"/>
    <w:rsid w:val="00491A7D"/>
    <w:rsid w:val="00491C1F"/>
    <w:rsid w:val="00491E18"/>
    <w:rsid w:val="00495837"/>
    <w:rsid w:val="00495992"/>
    <w:rsid w:val="00495FF4"/>
    <w:rsid w:val="0049606A"/>
    <w:rsid w:val="00496187"/>
    <w:rsid w:val="00496296"/>
    <w:rsid w:val="004963E8"/>
    <w:rsid w:val="004A023E"/>
    <w:rsid w:val="004A0459"/>
    <w:rsid w:val="004A05BC"/>
    <w:rsid w:val="004A0FAC"/>
    <w:rsid w:val="004A15B6"/>
    <w:rsid w:val="004A1BBB"/>
    <w:rsid w:val="004A1E72"/>
    <w:rsid w:val="004A1F37"/>
    <w:rsid w:val="004A205E"/>
    <w:rsid w:val="004A2133"/>
    <w:rsid w:val="004A2A29"/>
    <w:rsid w:val="004A2C4D"/>
    <w:rsid w:val="004A34FA"/>
    <w:rsid w:val="004A3DE6"/>
    <w:rsid w:val="004A462C"/>
    <w:rsid w:val="004A566E"/>
    <w:rsid w:val="004A6288"/>
    <w:rsid w:val="004A6573"/>
    <w:rsid w:val="004A65E8"/>
    <w:rsid w:val="004B0CA8"/>
    <w:rsid w:val="004B105E"/>
    <w:rsid w:val="004B115D"/>
    <w:rsid w:val="004B135D"/>
    <w:rsid w:val="004B2168"/>
    <w:rsid w:val="004B2A07"/>
    <w:rsid w:val="004B376B"/>
    <w:rsid w:val="004B3835"/>
    <w:rsid w:val="004B3CD2"/>
    <w:rsid w:val="004B3FF9"/>
    <w:rsid w:val="004B4965"/>
    <w:rsid w:val="004B4AF9"/>
    <w:rsid w:val="004B4B80"/>
    <w:rsid w:val="004B4FAC"/>
    <w:rsid w:val="004B53B7"/>
    <w:rsid w:val="004B5575"/>
    <w:rsid w:val="004B55DE"/>
    <w:rsid w:val="004B571E"/>
    <w:rsid w:val="004B5758"/>
    <w:rsid w:val="004B596B"/>
    <w:rsid w:val="004B5D07"/>
    <w:rsid w:val="004B6823"/>
    <w:rsid w:val="004B6CEB"/>
    <w:rsid w:val="004B72E5"/>
    <w:rsid w:val="004B7450"/>
    <w:rsid w:val="004B76C4"/>
    <w:rsid w:val="004C08CD"/>
    <w:rsid w:val="004C0B77"/>
    <w:rsid w:val="004C1351"/>
    <w:rsid w:val="004C17BD"/>
    <w:rsid w:val="004C1BE1"/>
    <w:rsid w:val="004C220A"/>
    <w:rsid w:val="004C31BD"/>
    <w:rsid w:val="004C3ADD"/>
    <w:rsid w:val="004C40A0"/>
    <w:rsid w:val="004C4139"/>
    <w:rsid w:val="004C41B0"/>
    <w:rsid w:val="004C43CD"/>
    <w:rsid w:val="004C4482"/>
    <w:rsid w:val="004C546F"/>
    <w:rsid w:val="004C58E4"/>
    <w:rsid w:val="004C5EC1"/>
    <w:rsid w:val="004C628F"/>
    <w:rsid w:val="004C6325"/>
    <w:rsid w:val="004C67E3"/>
    <w:rsid w:val="004C6AD3"/>
    <w:rsid w:val="004C704A"/>
    <w:rsid w:val="004C7C9B"/>
    <w:rsid w:val="004C7E78"/>
    <w:rsid w:val="004D0229"/>
    <w:rsid w:val="004D07A7"/>
    <w:rsid w:val="004D0AA6"/>
    <w:rsid w:val="004D0C34"/>
    <w:rsid w:val="004D388D"/>
    <w:rsid w:val="004D3AB1"/>
    <w:rsid w:val="004D4D35"/>
    <w:rsid w:val="004D72B1"/>
    <w:rsid w:val="004D7836"/>
    <w:rsid w:val="004D7DB3"/>
    <w:rsid w:val="004E017F"/>
    <w:rsid w:val="004E04F5"/>
    <w:rsid w:val="004E0FF9"/>
    <w:rsid w:val="004E1D57"/>
    <w:rsid w:val="004E27F8"/>
    <w:rsid w:val="004E3175"/>
    <w:rsid w:val="004E32FF"/>
    <w:rsid w:val="004E3DAA"/>
    <w:rsid w:val="004E3F8B"/>
    <w:rsid w:val="004E487F"/>
    <w:rsid w:val="004E4CEF"/>
    <w:rsid w:val="004E5224"/>
    <w:rsid w:val="004E581E"/>
    <w:rsid w:val="004E59CE"/>
    <w:rsid w:val="004E66D0"/>
    <w:rsid w:val="004E6874"/>
    <w:rsid w:val="004E6A7C"/>
    <w:rsid w:val="004E6AE2"/>
    <w:rsid w:val="004E6E56"/>
    <w:rsid w:val="004E75AB"/>
    <w:rsid w:val="004E7D86"/>
    <w:rsid w:val="004F19BE"/>
    <w:rsid w:val="004F245E"/>
    <w:rsid w:val="004F2C7D"/>
    <w:rsid w:val="004F2FE0"/>
    <w:rsid w:val="004F3F80"/>
    <w:rsid w:val="004F40CD"/>
    <w:rsid w:val="004F4891"/>
    <w:rsid w:val="004F54BD"/>
    <w:rsid w:val="004F5AB7"/>
    <w:rsid w:val="004F688F"/>
    <w:rsid w:val="004F68E1"/>
    <w:rsid w:val="004F737A"/>
    <w:rsid w:val="004F738D"/>
    <w:rsid w:val="004F7900"/>
    <w:rsid w:val="004F7DCD"/>
    <w:rsid w:val="004F7EB8"/>
    <w:rsid w:val="00501200"/>
    <w:rsid w:val="0050160F"/>
    <w:rsid w:val="00501869"/>
    <w:rsid w:val="00501B0C"/>
    <w:rsid w:val="0050288B"/>
    <w:rsid w:val="00502F22"/>
    <w:rsid w:val="00504433"/>
    <w:rsid w:val="00504687"/>
    <w:rsid w:val="00504E99"/>
    <w:rsid w:val="00504F45"/>
    <w:rsid w:val="005054FD"/>
    <w:rsid w:val="00505561"/>
    <w:rsid w:val="0050599D"/>
    <w:rsid w:val="00505E28"/>
    <w:rsid w:val="0050627F"/>
    <w:rsid w:val="005065FE"/>
    <w:rsid w:val="0050728C"/>
    <w:rsid w:val="005072FD"/>
    <w:rsid w:val="00507306"/>
    <w:rsid w:val="00507AAF"/>
    <w:rsid w:val="0051072A"/>
    <w:rsid w:val="00511DB8"/>
    <w:rsid w:val="00512864"/>
    <w:rsid w:val="00512B8C"/>
    <w:rsid w:val="005130CE"/>
    <w:rsid w:val="00513126"/>
    <w:rsid w:val="00514A97"/>
    <w:rsid w:val="0051609F"/>
    <w:rsid w:val="00516520"/>
    <w:rsid w:val="00516A1E"/>
    <w:rsid w:val="005170D2"/>
    <w:rsid w:val="00517556"/>
    <w:rsid w:val="00520D6D"/>
    <w:rsid w:val="005212DE"/>
    <w:rsid w:val="005216FF"/>
    <w:rsid w:val="0052194A"/>
    <w:rsid w:val="00523FBC"/>
    <w:rsid w:val="00524847"/>
    <w:rsid w:val="00524D50"/>
    <w:rsid w:val="005250C3"/>
    <w:rsid w:val="005261CB"/>
    <w:rsid w:val="005269C4"/>
    <w:rsid w:val="00527FE5"/>
    <w:rsid w:val="00530B58"/>
    <w:rsid w:val="00531902"/>
    <w:rsid w:val="005322BE"/>
    <w:rsid w:val="005329F6"/>
    <w:rsid w:val="00533170"/>
    <w:rsid w:val="005336BA"/>
    <w:rsid w:val="0053410A"/>
    <w:rsid w:val="00534779"/>
    <w:rsid w:val="00534E72"/>
    <w:rsid w:val="00535307"/>
    <w:rsid w:val="005356FE"/>
    <w:rsid w:val="00535760"/>
    <w:rsid w:val="0053589F"/>
    <w:rsid w:val="00535A85"/>
    <w:rsid w:val="00535DB2"/>
    <w:rsid w:val="005367D2"/>
    <w:rsid w:val="005369A4"/>
    <w:rsid w:val="00536B08"/>
    <w:rsid w:val="00537033"/>
    <w:rsid w:val="005371CD"/>
    <w:rsid w:val="00537B76"/>
    <w:rsid w:val="005406BF"/>
    <w:rsid w:val="005409C6"/>
    <w:rsid w:val="00540FE9"/>
    <w:rsid w:val="005419D7"/>
    <w:rsid w:val="00542156"/>
    <w:rsid w:val="005421B2"/>
    <w:rsid w:val="0054224F"/>
    <w:rsid w:val="00542D3C"/>
    <w:rsid w:val="00543019"/>
    <w:rsid w:val="00543741"/>
    <w:rsid w:val="0054511D"/>
    <w:rsid w:val="0054590A"/>
    <w:rsid w:val="00545D7E"/>
    <w:rsid w:val="00545E78"/>
    <w:rsid w:val="005464C2"/>
    <w:rsid w:val="00546922"/>
    <w:rsid w:val="005474F8"/>
    <w:rsid w:val="0054754A"/>
    <w:rsid w:val="00547C2F"/>
    <w:rsid w:val="00547F0B"/>
    <w:rsid w:val="005506DE"/>
    <w:rsid w:val="0055075E"/>
    <w:rsid w:val="00550CEF"/>
    <w:rsid w:val="00550D82"/>
    <w:rsid w:val="005510BB"/>
    <w:rsid w:val="005512AD"/>
    <w:rsid w:val="005513C3"/>
    <w:rsid w:val="00552D19"/>
    <w:rsid w:val="00553A27"/>
    <w:rsid w:val="00554844"/>
    <w:rsid w:val="00554EAE"/>
    <w:rsid w:val="0055544C"/>
    <w:rsid w:val="0055629B"/>
    <w:rsid w:val="005562E4"/>
    <w:rsid w:val="00556C99"/>
    <w:rsid w:val="00556E71"/>
    <w:rsid w:val="0055743A"/>
    <w:rsid w:val="005575F4"/>
    <w:rsid w:val="00557CFD"/>
    <w:rsid w:val="00557F29"/>
    <w:rsid w:val="005601BA"/>
    <w:rsid w:val="00560E70"/>
    <w:rsid w:val="005614B8"/>
    <w:rsid w:val="005619EC"/>
    <w:rsid w:val="005619F4"/>
    <w:rsid w:val="00562FC9"/>
    <w:rsid w:val="00563A23"/>
    <w:rsid w:val="00563BC1"/>
    <w:rsid w:val="005643DD"/>
    <w:rsid w:val="005654DA"/>
    <w:rsid w:val="0056551D"/>
    <w:rsid w:val="00565575"/>
    <w:rsid w:val="0056624D"/>
    <w:rsid w:val="0056670F"/>
    <w:rsid w:val="00567B6C"/>
    <w:rsid w:val="00570878"/>
    <w:rsid w:val="00570982"/>
    <w:rsid w:val="00571528"/>
    <w:rsid w:val="005718C6"/>
    <w:rsid w:val="00571985"/>
    <w:rsid w:val="0057239E"/>
    <w:rsid w:val="00572D96"/>
    <w:rsid w:val="005731E7"/>
    <w:rsid w:val="00573F26"/>
    <w:rsid w:val="0057591A"/>
    <w:rsid w:val="0057645C"/>
    <w:rsid w:val="00576C35"/>
    <w:rsid w:val="0057773C"/>
    <w:rsid w:val="005801A6"/>
    <w:rsid w:val="005802C3"/>
    <w:rsid w:val="005811DB"/>
    <w:rsid w:val="005816B2"/>
    <w:rsid w:val="00581C7D"/>
    <w:rsid w:val="00581F58"/>
    <w:rsid w:val="00581FD3"/>
    <w:rsid w:val="005827D8"/>
    <w:rsid w:val="00582F85"/>
    <w:rsid w:val="00583209"/>
    <w:rsid w:val="005833B3"/>
    <w:rsid w:val="00583601"/>
    <w:rsid w:val="00583BB6"/>
    <w:rsid w:val="005849FB"/>
    <w:rsid w:val="00584AD3"/>
    <w:rsid w:val="005853B0"/>
    <w:rsid w:val="00585897"/>
    <w:rsid w:val="005863B1"/>
    <w:rsid w:val="005869CA"/>
    <w:rsid w:val="00586B7D"/>
    <w:rsid w:val="00586C03"/>
    <w:rsid w:val="00587ECE"/>
    <w:rsid w:val="005901E8"/>
    <w:rsid w:val="00590715"/>
    <w:rsid w:val="0059096B"/>
    <w:rsid w:val="00592573"/>
    <w:rsid w:val="00593707"/>
    <w:rsid w:val="0059397F"/>
    <w:rsid w:val="00595EAD"/>
    <w:rsid w:val="00595F07"/>
    <w:rsid w:val="0059679B"/>
    <w:rsid w:val="0059707A"/>
    <w:rsid w:val="00597478"/>
    <w:rsid w:val="0059768E"/>
    <w:rsid w:val="00597E51"/>
    <w:rsid w:val="00597F6E"/>
    <w:rsid w:val="005A181F"/>
    <w:rsid w:val="005A1C02"/>
    <w:rsid w:val="005A27E0"/>
    <w:rsid w:val="005A2EF4"/>
    <w:rsid w:val="005A353B"/>
    <w:rsid w:val="005A35B0"/>
    <w:rsid w:val="005A3674"/>
    <w:rsid w:val="005A39CC"/>
    <w:rsid w:val="005A3BD8"/>
    <w:rsid w:val="005A4059"/>
    <w:rsid w:val="005A4880"/>
    <w:rsid w:val="005A59D4"/>
    <w:rsid w:val="005A6A4E"/>
    <w:rsid w:val="005A70FD"/>
    <w:rsid w:val="005A7149"/>
    <w:rsid w:val="005A7602"/>
    <w:rsid w:val="005A7CD6"/>
    <w:rsid w:val="005A7F3D"/>
    <w:rsid w:val="005B0640"/>
    <w:rsid w:val="005B0A4E"/>
    <w:rsid w:val="005B1056"/>
    <w:rsid w:val="005B106C"/>
    <w:rsid w:val="005B1C6C"/>
    <w:rsid w:val="005B2295"/>
    <w:rsid w:val="005B38BC"/>
    <w:rsid w:val="005B4314"/>
    <w:rsid w:val="005B48CA"/>
    <w:rsid w:val="005B4D12"/>
    <w:rsid w:val="005B5449"/>
    <w:rsid w:val="005B6999"/>
    <w:rsid w:val="005B6CF7"/>
    <w:rsid w:val="005B7AC2"/>
    <w:rsid w:val="005B7AD0"/>
    <w:rsid w:val="005B7AEA"/>
    <w:rsid w:val="005B7B06"/>
    <w:rsid w:val="005C0033"/>
    <w:rsid w:val="005C00CE"/>
    <w:rsid w:val="005C04F6"/>
    <w:rsid w:val="005C1943"/>
    <w:rsid w:val="005C276E"/>
    <w:rsid w:val="005C2AAA"/>
    <w:rsid w:val="005C32D5"/>
    <w:rsid w:val="005C36F6"/>
    <w:rsid w:val="005C3A87"/>
    <w:rsid w:val="005C4294"/>
    <w:rsid w:val="005C46AA"/>
    <w:rsid w:val="005C5EA2"/>
    <w:rsid w:val="005C5FA2"/>
    <w:rsid w:val="005C65BE"/>
    <w:rsid w:val="005C6F33"/>
    <w:rsid w:val="005C7395"/>
    <w:rsid w:val="005C7FF5"/>
    <w:rsid w:val="005D02DE"/>
    <w:rsid w:val="005D02F2"/>
    <w:rsid w:val="005D0AC4"/>
    <w:rsid w:val="005D103B"/>
    <w:rsid w:val="005D17EC"/>
    <w:rsid w:val="005D1DEC"/>
    <w:rsid w:val="005D218B"/>
    <w:rsid w:val="005D2AED"/>
    <w:rsid w:val="005D478E"/>
    <w:rsid w:val="005D4A27"/>
    <w:rsid w:val="005D5A86"/>
    <w:rsid w:val="005D5F08"/>
    <w:rsid w:val="005D628F"/>
    <w:rsid w:val="005D6368"/>
    <w:rsid w:val="005D6719"/>
    <w:rsid w:val="005D6B4C"/>
    <w:rsid w:val="005D6F78"/>
    <w:rsid w:val="005D7F02"/>
    <w:rsid w:val="005E0C0C"/>
    <w:rsid w:val="005E0D4A"/>
    <w:rsid w:val="005E191A"/>
    <w:rsid w:val="005E1C69"/>
    <w:rsid w:val="005E2563"/>
    <w:rsid w:val="005E2731"/>
    <w:rsid w:val="005E279C"/>
    <w:rsid w:val="005E2A66"/>
    <w:rsid w:val="005E3FFB"/>
    <w:rsid w:val="005E4033"/>
    <w:rsid w:val="005E40AB"/>
    <w:rsid w:val="005E7103"/>
    <w:rsid w:val="005E7259"/>
    <w:rsid w:val="005F0367"/>
    <w:rsid w:val="005F049A"/>
    <w:rsid w:val="005F0EAE"/>
    <w:rsid w:val="005F10E9"/>
    <w:rsid w:val="005F2072"/>
    <w:rsid w:val="005F28B9"/>
    <w:rsid w:val="005F2996"/>
    <w:rsid w:val="005F299F"/>
    <w:rsid w:val="005F2D70"/>
    <w:rsid w:val="005F3BEC"/>
    <w:rsid w:val="005F3CA8"/>
    <w:rsid w:val="005F434E"/>
    <w:rsid w:val="005F437A"/>
    <w:rsid w:val="005F473C"/>
    <w:rsid w:val="005F47C6"/>
    <w:rsid w:val="005F48C3"/>
    <w:rsid w:val="005F49D0"/>
    <w:rsid w:val="005F4A13"/>
    <w:rsid w:val="005F5CDA"/>
    <w:rsid w:val="005F615F"/>
    <w:rsid w:val="005F6D05"/>
    <w:rsid w:val="005F6F6A"/>
    <w:rsid w:val="005F7130"/>
    <w:rsid w:val="005F75F3"/>
    <w:rsid w:val="005F7ECF"/>
    <w:rsid w:val="00600235"/>
    <w:rsid w:val="00600CB9"/>
    <w:rsid w:val="00600E2B"/>
    <w:rsid w:val="00601497"/>
    <w:rsid w:val="00601B0F"/>
    <w:rsid w:val="00601CFF"/>
    <w:rsid w:val="00602037"/>
    <w:rsid w:val="00602444"/>
    <w:rsid w:val="00602474"/>
    <w:rsid w:val="00602AB6"/>
    <w:rsid w:val="006035A7"/>
    <w:rsid w:val="00603C6C"/>
    <w:rsid w:val="006042E4"/>
    <w:rsid w:val="00605186"/>
    <w:rsid w:val="0060552D"/>
    <w:rsid w:val="00606021"/>
    <w:rsid w:val="0060762D"/>
    <w:rsid w:val="00607861"/>
    <w:rsid w:val="00607B18"/>
    <w:rsid w:val="0061078F"/>
    <w:rsid w:val="00610DCD"/>
    <w:rsid w:val="006110E7"/>
    <w:rsid w:val="0061167C"/>
    <w:rsid w:val="00612509"/>
    <w:rsid w:val="0061338C"/>
    <w:rsid w:val="00614CDB"/>
    <w:rsid w:val="00615036"/>
    <w:rsid w:val="006151B1"/>
    <w:rsid w:val="00615202"/>
    <w:rsid w:val="00615743"/>
    <w:rsid w:val="00615762"/>
    <w:rsid w:val="006160C6"/>
    <w:rsid w:val="00616C1A"/>
    <w:rsid w:val="0061719F"/>
    <w:rsid w:val="0061799B"/>
    <w:rsid w:val="00617A5A"/>
    <w:rsid w:val="006202DC"/>
    <w:rsid w:val="00620EA1"/>
    <w:rsid w:val="00621843"/>
    <w:rsid w:val="00622198"/>
    <w:rsid w:val="00622335"/>
    <w:rsid w:val="006229DA"/>
    <w:rsid w:val="00622AFC"/>
    <w:rsid w:val="00622C81"/>
    <w:rsid w:val="0062338B"/>
    <w:rsid w:val="006240F7"/>
    <w:rsid w:val="006242B8"/>
    <w:rsid w:val="00625629"/>
    <w:rsid w:val="00625EBA"/>
    <w:rsid w:val="00626F74"/>
    <w:rsid w:val="006270B2"/>
    <w:rsid w:val="00627852"/>
    <w:rsid w:val="00630126"/>
    <w:rsid w:val="006310AE"/>
    <w:rsid w:val="006311A1"/>
    <w:rsid w:val="00631468"/>
    <w:rsid w:val="0063150B"/>
    <w:rsid w:val="0063202F"/>
    <w:rsid w:val="006321ED"/>
    <w:rsid w:val="00632C1D"/>
    <w:rsid w:val="00633BA4"/>
    <w:rsid w:val="00634004"/>
    <w:rsid w:val="00634CE8"/>
    <w:rsid w:val="00635011"/>
    <w:rsid w:val="00635434"/>
    <w:rsid w:val="006356DD"/>
    <w:rsid w:val="00635808"/>
    <w:rsid w:val="00635BAC"/>
    <w:rsid w:val="00635BC3"/>
    <w:rsid w:val="00635E41"/>
    <w:rsid w:val="00636008"/>
    <w:rsid w:val="00636713"/>
    <w:rsid w:val="00636C2A"/>
    <w:rsid w:val="00636DA9"/>
    <w:rsid w:val="00637683"/>
    <w:rsid w:val="006378BD"/>
    <w:rsid w:val="00637C81"/>
    <w:rsid w:val="00637D51"/>
    <w:rsid w:val="0064018A"/>
    <w:rsid w:val="006402EF"/>
    <w:rsid w:val="006404BC"/>
    <w:rsid w:val="00640631"/>
    <w:rsid w:val="00640B61"/>
    <w:rsid w:val="006414C6"/>
    <w:rsid w:val="0064156B"/>
    <w:rsid w:val="00641E51"/>
    <w:rsid w:val="00642072"/>
    <w:rsid w:val="006428FD"/>
    <w:rsid w:val="0064343F"/>
    <w:rsid w:val="00643635"/>
    <w:rsid w:val="0064410A"/>
    <w:rsid w:val="00645662"/>
    <w:rsid w:val="006456D4"/>
    <w:rsid w:val="00646A9C"/>
    <w:rsid w:val="006472D8"/>
    <w:rsid w:val="00647892"/>
    <w:rsid w:val="00647A70"/>
    <w:rsid w:val="00647F8A"/>
    <w:rsid w:val="0065043C"/>
    <w:rsid w:val="00650FC3"/>
    <w:rsid w:val="00651AE1"/>
    <w:rsid w:val="006524DE"/>
    <w:rsid w:val="006525F4"/>
    <w:rsid w:val="006531F9"/>
    <w:rsid w:val="00653242"/>
    <w:rsid w:val="006537FA"/>
    <w:rsid w:val="00653E99"/>
    <w:rsid w:val="006553A1"/>
    <w:rsid w:val="006554A1"/>
    <w:rsid w:val="006556FC"/>
    <w:rsid w:val="006567A1"/>
    <w:rsid w:val="00656F31"/>
    <w:rsid w:val="006570DC"/>
    <w:rsid w:val="0065713C"/>
    <w:rsid w:val="0065740D"/>
    <w:rsid w:val="0065770D"/>
    <w:rsid w:val="00657817"/>
    <w:rsid w:val="006603A3"/>
    <w:rsid w:val="00661375"/>
    <w:rsid w:val="00661600"/>
    <w:rsid w:val="006616FA"/>
    <w:rsid w:val="00661747"/>
    <w:rsid w:val="0066198E"/>
    <w:rsid w:val="006622E0"/>
    <w:rsid w:val="00662898"/>
    <w:rsid w:val="00662934"/>
    <w:rsid w:val="00662AEF"/>
    <w:rsid w:val="00662E55"/>
    <w:rsid w:val="00663772"/>
    <w:rsid w:val="00663B01"/>
    <w:rsid w:val="0066421B"/>
    <w:rsid w:val="00664B2E"/>
    <w:rsid w:val="00664D75"/>
    <w:rsid w:val="0066523F"/>
    <w:rsid w:val="00665674"/>
    <w:rsid w:val="006669E4"/>
    <w:rsid w:val="00666BAE"/>
    <w:rsid w:val="00667405"/>
    <w:rsid w:val="00667FCE"/>
    <w:rsid w:val="00667FF1"/>
    <w:rsid w:val="0067015F"/>
    <w:rsid w:val="00670768"/>
    <w:rsid w:val="00670A65"/>
    <w:rsid w:val="00670AEC"/>
    <w:rsid w:val="00671AC0"/>
    <w:rsid w:val="00671D45"/>
    <w:rsid w:val="00672E07"/>
    <w:rsid w:val="006733F2"/>
    <w:rsid w:val="00673576"/>
    <w:rsid w:val="00673861"/>
    <w:rsid w:val="006738F4"/>
    <w:rsid w:val="0067442F"/>
    <w:rsid w:val="006749B1"/>
    <w:rsid w:val="00674A45"/>
    <w:rsid w:val="006750DF"/>
    <w:rsid w:val="00676074"/>
    <w:rsid w:val="00676ABA"/>
    <w:rsid w:val="00677086"/>
    <w:rsid w:val="00677716"/>
    <w:rsid w:val="00680736"/>
    <w:rsid w:val="00680B09"/>
    <w:rsid w:val="00680B79"/>
    <w:rsid w:val="0068117F"/>
    <w:rsid w:val="00683A63"/>
    <w:rsid w:val="00683E00"/>
    <w:rsid w:val="00684030"/>
    <w:rsid w:val="00684598"/>
    <w:rsid w:val="00684EEF"/>
    <w:rsid w:val="00684F4E"/>
    <w:rsid w:val="0068583B"/>
    <w:rsid w:val="00686E03"/>
    <w:rsid w:val="00687B72"/>
    <w:rsid w:val="00687BFD"/>
    <w:rsid w:val="00687FB7"/>
    <w:rsid w:val="00690251"/>
    <w:rsid w:val="0069067E"/>
    <w:rsid w:val="00690721"/>
    <w:rsid w:val="00691736"/>
    <w:rsid w:val="00692EAB"/>
    <w:rsid w:val="006937FB"/>
    <w:rsid w:val="00693AED"/>
    <w:rsid w:val="00693F49"/>
    <w:rsid w:val="006942ED"/>
    <w:rsid w:val="00694828"/>
    <w:rsid w:val="00695D13"/>
    <w:rsid w:val="00695DC6"/>
    <w:rsid w:val="006966FB"/>
    <w:rsid w:val="0069700C"/>
    <w:rsid w:val="00697789"/>
    <w:rsid w:val="006A0014"/>
    <w:rsid w:val="006A085A"/>
    <w:rsid w:val="006A0B7B"/>
    <w:rsid w:val="006A1977"/>
    <w:rsid w:val="006A1B9E"/>
    <w:rsid w:val="006A1E6B"/>
    <w:rsid w:val="006A1F7A"/>
    <w:rsid w:val="006A2CCF"/>
    <w:rsid w:val="006A2FCA"/>
    <w:rsid w:val="006A34CB"/>
    <w:rsid w:val="006A4407"/>
    <w:rsid w:val="006A59C0"/>
    <w:rsid w:val="006A5FC5"/>
    <w:rsid w:val="006A606D"/>
    <w:rsid w:val="006A6157"/>
    <w:rsid w:val="006A64C0"/>
    <w:rsid w:val="006A67A6"/>
    <w:rsid w:val="006A7718"/>
    <w:rsid w:val="006B0730"/>
    <w:rsid w:val="006B0B7D"/>
    <w:rsid w:val="006B21C0"/>
    <w:rsid w:val="006B271E"/>
    <w:rsid w:val="006B2A08"/>
    <w:rsid w:val="006B322C"/>
    <w:rsid w:val="006B3297"/>
    <w:rsid w:val="006B3CE8"/>
    <w:rsid w:val="006B4054"/>
    <w:rsid w:val="006B4AC0"/>
    <w:rsid w:val="006B5AE4"/>
    <w:rsid w:val="006B6711"/>
    <w:rsid w:val="006B6982"/>
    <w:rsid w:val="006C0287"/>
    <w:rsid w:val="006C11B8"/>
    <w:rsid w:val="006C1A17"/>
    <w:rsid w:val="006C1E75"/>
    <w:rsid w:val="006C2566"/>
    <w:rsid w:val="006C38A0"/>
    <w:rsid w:val="006C3D5E"/>
    <w:rsid w:val="006C3F3C"/>
    <w:rsid w:val="006C45CC"/>
    <w:rsid w:val="006C4719"/>
    <w:rsid w:val="006C48F3"/>
    <w:rsid w:val="006C4E39"/>
    <w:rsid w:val="006C5C84"/>
    <w:rsid w:val="006C60AE"/>
    <w:rsid w:val="006C6477"/>
    <w:rsid w:val="006C65A8"/>
    <w:rsid w:val="006D048B"/>
    <w:rsid w:val="006D08F7"/>
    <w:rsid w:val="006D12E1"/>
    <w:rsid w:val="006D1FEA"/>
    <w:rsid w:val="006D2D95"/>
    <w:rsid w:val="006D2DFB"/>
    <w:rsid w:val="006D31E5"/>
    <w:rsid w:val="006D36C5"/>
    <w:rsid w:val="006D37F8"/>
    <w:rsid w:val="006D42FD"/>
    <w:rsid w:val="006D58B9"/>
    <w:rsid w:val="006D5984"/>
    <w:rsid w:val="006D62AC"/>
    <w:rsid w:val="006D63A9"/>
    <w:rsid w:val="006D65A4"/>
    <w:rsid w:val="006D7324"/>
    <w:rsid w:val="006D77E6"/>
    <w:rsid w:val="006E3987"/>
    <w:rsid w:val="006E3EEC"/>
    <w:rsid w:val="006E475F"/>
    <w:rsid w:val="006E4FBA"/>
    <w:rsid w:val="006E58FF"/>
    <w:rsid w:val="006E5B59"/>
    <w:rsid w:val="006E6154"/>
    <w:rsid w:val="006E6912"/>
    <w:rsid w:val="006E6BB9"/>
    <w:rsid w:val="006E6D31"/>
    <w:rsid w:val="006E7259"/>
    <w:rsid w:val="006E77D9"/>
    <w:rsid w:val="006E789F"/>
    <w:rsid w:val="006E79EA"/>
    <w:rsid w:val="006E7CFB"/>
    <w:rsid w:val="006F009B"/>
    <w:rsid w:val="006F031D"/>
    <w:rsid w:val="006F0582"/>
    <w:rsid w:val="006F06C5"/>
    <w:rsid w:val="006F0A66"/>
    <w:rsid w:val="006F12AB"/>
    <w:rsid w:val="006F1B4A"/>
    <w:rsid w:val="006F2209"/>
    <w:rsid w:val="006F28B9"/>
    <w:rsid w:val="006F2AA8"/>
    <w:rsid w:val="006F3AA0"/>
    <w:rsid w:val="006F4308"/>
    <w:rsid w:val="006F4506"/>
    <w:rsid w:val="006F5B23"/>
    <w:rsid w:val="006F5D0E"/>
    <w:rsid w:val="006F5F69"/>
    <w:rsid w:val="006F6002"/>
    <w:rsid w:val="006F6521"/>
    <w:rsid w:val="006F6CA1"/>
    <w:rsid w:val="006F744F"/>
    <w:rsid w:val="00700720"/>
    <w:rsid w:val="00700B93"/>
    <w:rsid w:val="0070181E"/>
    <w:rsid w:val="00701F88"/>
    <w:rsid w:val="0070210F"/>
    <w:rsid w:val="007032FC"/>
    <w:rsid w:val="00703BDE"/>
    <w:rsid w:val="00705056"/>
    <w:rsid w:val="007060E3"/>
    <w:rsid w:val="00706204"/>
    <w:rsid w:val="00706394"/>
    <w:rsid w:val="00706C22"/>
    <w:rsid w:val="0070706F"/>
    <w:rsid w:val="007071F4"/>
    <w:rsid w:val="0070759A"/>
    <w:rsid w:val="00707696"/>
    <w:rsid w:val="00707739"/>
    <w:rsid w:val="0071029C"/>
    <w:rsid w:val="00710340"/>
    <w:rsid w:val="0071057A"/>
    <w:rsid w:val="00710640"/>
    <w:rsid w:val="007107AC"/>
    <w:rsid w:val="007107C9"/>
    <w:rsid w:val="007112DB"/>
    <w:rsid w:val="007117E5"/>
    <w:rsid w:val="0071231B"/>
    <w:rsid w:val="007129E9"/>
    <w:rsid w:val="00712B45"/>
    <w:rsid w:val="00712B8A"/>
    <w:rsid w:val="007133F9"/>
    <w:rsid w:val="007141DB"/>
    <w:rsid w:val="00714497"/>
    <w:rsid w:val="0071465F"/>
    <w:rsid w:val="00714B93"/>
    <w:rsid w:val="00715340"/>
    <w:rsid w:val="00715449"/>
    <w:rsid w:val="0071557F"/>
    <w:rsid w:val="0071563E"/>
    <w:rsid w:val="00715874"/>
    <w:rsid w:val="00715CFC"/>
    <w:rsid w:val="007161D4"/>
    <w:rsid w:val="00716AD0"/>
    <w:rsid w:val="00717A72"/>
    <w:rsid w:val="00717AEE"/>
    <w:rsid w:val="007205BD"/>
    <w:rsid w:val="007209CF"/>
    <w:rsid w:val="00720F56"/>
    <w:rsid w:val="007214C0"/>
    <w:rsid w:val="00721598"/>
    <w:rsid w:val="00722E6B"/>
    <w:rsid w:val="00723AA8"/>
    <w:rsid w:val="00723F9E"/>
    <w:rsid w:val="007242AA"/>
    <w:rsid w:val="00724E17"/>
    <w:rsid w:val="00725515"/>
    <w:rsid w:val="00725BDE"/>
    <w:rsid w:val="00725F2A"/>
    <w:rsid w:val="00725F8A"/>
    <w:rsid w:val="007265FF"/>
    <w:rsid w:val="0072674D"/>
    <w:rsid w:val="0072793A"/>
    <w:rsid w:val="00727E8B"/>
    <w:rsid w:val="007302E3"/>
    <w:rsid w:val="00730C64"/>
    <w:rsid w:val="00730EDC"/>
    <w:rsid w:val="00730F7E"/>
    <w:rsid w:val="00731852"/>
    <w:rsid w:val="007320C5"/>
    <w:rsid w:val="00732B46"/>
    <w:rsid w:val="00732E77"/>
    <w:rsid w:val="00733025"/>
    <w:rsid w:val="00733C93"/>
    <w:rsid w:val="00734089"/>
    <w:rsid w:val="007345C0"/>
    <w:rsid w:val="0073491F"/>
    <w:rsid w:val="00734FAE"/>
    <w:rsid w:val="007357F7"/>
    <w:rsid w:val="007360E8"/>
    <w:rsid w:val="00736BB2"/>
    <w:rsid w:val="00736D36"/>
    <w:rsid w:val="0073721A"/>
    <w:rsid w:val="00737855"/>
    <w:rsid w:val="007414CA"/>
    <w:rsid w:val="007425E5"/>
    <w:rsid w:val="00742767"/>
    <w:rsid w:val="00742F40"/>
    <w:rsid w:val="007432D3"/>
    <w:rsid w:val="007436CD"/>
    <w:rsid w:val="0074392A"/>
    <w:rsid w:val="007444DE"/>
    <w:rsid w:val="00744B45"/>
    <w:rsid w:val="00744B4E"/>
    <w:rsid w:val="00744D31"/>
    <w:rsid w:val="00744D5A"/>
    <w:rsid w:val="007454C1"/>
    <w:rsid w:val="00746305"/>
    <w:rsid w:val="00746661"/>
    <w:rsid w:val="007466D5"/>
    <w:rsid w:val="007469E7"/>
    <w:rsid w:val="00747643"/>
    <w:rsid w:val="0075002C"/>
    <w:rsid w:val="00750254"/>
    <w:rsid w:val="007509AB"/>
    <w:rsid w:val="007513F9"/>
    <w:rsid w:val="0075147D"/>
    <w:rsid w:val="00751832"/>
    <w:rsid w:val="0075264D"/>
    <w:rsid w:val="00752F3F"/>
    <w:rsid w:val="00752FEA"/>
    <w:rsid w:val="0075331B"/>
    <w:rsid w:val="00753CB8"/>
    <w:rsid w:val="00754946"/>
    <w:rsid w:val="007549CD"/>
    <w:rsid w:val="007551C5"/>
    <w:rsid w:val="00755BD5"/>
    <w:rsid w:val="00757C92"/>
    <w:rsid w:val="007605FE"/>
    <w:rsid w:val="0076081A"/>
    <w:rsid w:val="00760961"/>
    <w:rsid w:val="007609DC"/>
    <w:rsid w:val="00761503"/>
    <w:rsid w:val="007618F8"/>
    <w:rsid w:val="00762079"/>
    <w:rsid w:val="007627A4"/>
    <w:rsid w:val="00763BA0"/>
    <w:rsid w:val="007641C3"/>
    <w:rsid w:val="00764C51"/>
    <w:rsid w:val="00764C54"/>
    <w:rsid w:val="00764E30"/>
    <w:rsid w:val="00765BDF"/>
    <w:rsid w:val="0076713B"/>
    <w:rsid w:val="007674CA"/>
    <w:rsid w:val="00767BC8"/>
    <w:rsid w:val="00771183"/>
    <w:rsid w:val="0077142F"/>
    <w:rsid w:val="00772305"/>
    <w:rsid w:val="007724D8"/>
    <w:rsid w:val="00773C8E"/>
    <w:rsid w:val="00774644"/>
    <w:rsid w:val="00774692"/>
    <w:rsid w:val="007746E2"/>
    <w:rsid w:val="00774ACA"/>
    <w:rsid w:val="00775093"/>
    <w:rsid w:val="007751B7"/>
    <w:rsid w:val="007758E7"/>
    <w:rsid w:val="007768A1"/>
    <w:rsid w:val="00776F3C"/>
    <w:rsid w:val="00780578"/>
    <w:rsid w:val="00780581"/>
    <w:rsid w:val="00780D10"/>
    <w:rsid w:val="007810D8"/>
    <w:rsid w:val="0078126E"/>
    <w:rsid w:val="00781A68"/>
    <w:rsid w:val="00781C09"/>
    <w:rsid w:val="00781CF5"/>
    <w:rsid w:val="00782496"/>
    <w:rsid w:val="00782973"/>
    <w:rsid w:val="00782A32"/>
    <w:rsid w:val="00782EA3"/>
    <w:rsid w:val="0078350F"/>
    <w:rsid w:val="00783B46"/>
    <w:rsid w:val="00784CF4"/>
    <w:rsid w:val="00784D16"/>
    <w:rsid w:val="00784FDE"/>
    <w:rsid w:val="007855D8"/>
    <w:rsid w:val="007856A5"/>
    <w:rsid w:val="00785C55"/>
    <w:rsid w:val="00786066"/>
    <w:rsid w:val="00786295"/>
    <w:rsid w:val="00786A94"/>
    <w:rsid w:val="00786BAC"/>
    <w:rsid w:val="00786BCE"/>
    <w:rsid w:val="007871D4"/>
    <w:rsid w:val="007875D0"/>
    <w:rsid w:val="00787E84"/>
    <w:rsid w:val="00787EDD"/>
    <w:rsid w:val="00790A4F"/>
    <w:rsid w:val="00790BA6"/>
    <w:rsid w:val="00790F5D"/>
    <w:rsid w:val="0079111A"/>
    <w:rsid w:val="00791253"/>
    <w:rsid w:val="00793071"/>
    <w:rsid w:val="00793E99"/>
    <w:rsid w:val="00793FA5"/>
    <w:rsid w:val="00794D6F"/>
    <w:rsid w:val="00794EAA"/>
    <w:rsid w:val="007957F7"/>
    <w:rsid w:val="00795DD8"/>
    <w:rsid w:val="00795F81"/>
    <w:rsid w:val="0079608B"/>
    <w:rsid w:val="00796786"/>
    <w:rsid w:val="00796CF6"/>
    <w:rsid w:val="007979CC"/>
    <w:rsid w:val="007A0C41"/>
    <w:rsid w:val="007A175A"/>
    <w:rsid w:val="007A1D7A"/>
    <w:rsid w:val="007A1E13"/>
    <w:rsid w:val="007A21B4"/>
    <w:rsid w:val="007A24BC"/>
    <w:rsid w:val="007A28F0"/>
    <w:rsid w:val="007A292E"/>
    <w:rsid w:val="007A2B38"/>
    <w:rsid w:val="007A32B5"/>
    <w:rsid w:val="007A3826"/>
    <w:rsid w:val="007A3867"/>
    <w:rsid w:val="007A38E8"/>
    <w:rsid w:val="007A3BAE"/>
    <w:rsid w:val="007A3DAF"/>
    <w:rsid w:val="007A4282"/>
    <w:rsid w:val="007A44F5"/>
    <w:rsid w:val="007A4703"/>
    <w:rsid w:val="007A4A81"/>
    <w:rsid w:val="007A4C46"/>
    <w:rsid w:val="007A502D"/>
    <w:rsid w:val="007A5C27"/>
    <w:rsid w:val="007A5D44"/>
    <w:rsid w:val="007A6FCA"/>
    <w:rsid w:val="007A750F"/>
    <w:rsid w:val="007A7D71"/>
    <w:rsid w:val="007A7F30"/>
    <w:rsid w:val="007B00F4"/>
    <w:rsid w:val="007B0703"/>
    <w:rsid w:val="007B09F7"/>
    <w:rsid w:val="007B1006"/>
    <w:rsid w:val="007B1C3B"/>
    <w:rsid w:val="007B2ABD"/>
    <w:rsid w:val="007B2E49"/>
    <w:rsid w:val="007B34C9"/>
    <w:rsid w:val="007B3E34"/>
    <w:rsid w:val="007B3FE0"/>
    <w:rsid w:val="007B4174"/>
    <w:rsid w:val="007B4555"/>
    <w:rsid w:val="007B5C7E"/>
    <w:rsid w:val="007B5D1D"/>
    <w:rsid w:val="007B67FA"/>
    <w:rsid w:val="007B7678"/>
    <w:rsid w:val="007B7681"/>
    <w:rsid w:val="007B76C4"/>
    <w:rsid w:val="007B7C1A"/>
    <w:rsid w:val="007C0539"/>
    <w:rsid w:val="007C1582"/>
    <w:rsid w:val="007C1646"/>
    <w:rsid w:val="007C19A2"/>
    <w:rsid w:val="007C1AC2"/>
    <w:rsid w:val="007C1BEF"/>
    <w:rsid w:val="007C1D2B"/>
    <w:rsid w:val="007C425B"/>
    <w:rsid w:val="007C465D"/>
    <w:rsid w:val="007C590A"/>
    <w:rsid w:val="007C5912"/>
    <w:rsid w:val="007C6623"/>
    <w:rsid w:val="007C6C76"/>
    <w:rsid w:val="007C7299"/>
    <w:rsid w:val="007D083E"/>
    <w:rsid w:val="007D0CF5"/>
    <w:rsid w:val="007D0D19"/>
    <w:rsid w:val="007D0D2B"/>
    <w:rsid w:val="007D0FE5"/>
    <w:rsid w:val="007D12EB"/>
    <w:rsid w:val="007D148E"/>
    <w:rsid w:val="007D14FB"/>
    <w:rsid w:val="007D1592"/>
    <w:rsid w:val="007D1835"/>
    <w:rsid w:val="007D1C9C"/>
    <w:rsid w:val="007D200E"/>
    <w:rsid w:val="007D2B25"/>
    <w:rsid w:val="007D2F0E"/>
    <w:rsid w:val="007D36DF"/>
    <w:rsid w:val="007D4F04"/>
    <w:rsid w:val="007D4F8C"/>
    <w:rsid w:val="007D5A35"/>
    <w:rsid w:val="007D5F90"/>
    <w:rsid w:val="007D7600"/>
    <w:rsid w:val="007D7BC7"/>
    <w:rsid w:val="007D7D0B"/>
    <w:rsid w:val="007E10E8"/>
    <w:rsid w:val="007E12CD"/>
    <w:rsid w:val="007E1A6E"/>
    <w:rsid w:val="007E1E5A"/>
    <w:rsid w:val="007E23D0"/>
    <w:rsid w:val="007E2B36"/>
    <w:rsid w:val="007E45A7"/>
    <w:rsid w:val="007E4C5F"/>
    <w:rsid w:val="007E5645"/>
    <w:rsid w:val="007E5794"/>
    <w:rsid w:val="007E5AFF"/>
    <w:rsid w:val="007E68FB"/>
    <w:rsid w:val="007E6979"/>
    <w:rsid w:val="007E732B"/>
    <w:rsid w:val="007E75F3"/>
    <w:rsid w:val="007E7BA9"/>
    <w:rsid w:val="007E7CA8"/>
    <w:rsid w:val="007E7F0F"/>
    <w:rsid w:val="007F0C97"/>
    <w:rsid w:val="007F11BD"/>
    <w:rsid w:val="007F11C7"/>
    <w:rsid w:val="007F1256"/>
    <w:rsid w:val="007F1589"/>
    <w:rsid w:val="007F17DE"/>
    <w:rsid w:val="007F187F"/>
    <w:rsid w:val="007F18A6"/>
    <w:rsid w:val="007F1907"/>
    <w:rsid w:val="007F1935"/>
    <w:rsid w:val="007F1D59"/>
    <w:rsid w:val="007F233B"/>
    <w:rsid w:val="007F284C"/>
    <w:rsid w:val="007F37DE"/>
    <w:rsid w:val="007F46BA"/>
    <w:rsid w:val="007F4BBF"/>
    <w:rsid w:val="007F54A3"/>
    <w:rsid w:val="007F587C"/>
    <w:rsid w:val="007F5A47"/>
    <w:rsid w:val="007F5C49"/>
    <w:rsid w:val="007F6B01"/>
    <w:rsid w:val="007F733C"/>
    <w:rsid w:val="007F7591"/>
    <w:rsid w:val="007F771C"/>
    <w:rsid w:val="007F7813"/>
    <w:rsid w:val="007F7A35"/>
    <w:rsid w:val="007F7FBF"/>
    <w:rsid w:val="00800C2F"/>
    <w:rsid w:val="00800E5C"/>
    <w:rsid w:val="00800EC9"/>
    <w:rsid w:val="0080104A"/>
    <w:rsid w:val="008016E3"/>
    <w:rsid w:val="00801BF0"/>
    <w:rsid w:val="00802A88"/>
    <w:rsid w:val="00802E54"/>
    <w:rsid w:val="00802EE6"/>
    <w:rsid w:val="00803CBB"/>
    <w:rsid w:val="008042E6"/>
    <w:rsid w:val="008043C2"/>
    <w:rsid w:val="00804601"/>
    <w:rsid w:val="0080490C"/>
    <w:rsid w:val="008050E1"/>
    <w:rsid w:val="008054B3"/>
    <w:rsid w:val="008060BD"/>
    <w:rsid w:val="008060FD"/>
    <w:rsid w:val="008070DB"/>
    <w:rsid w:val="00807300"/>
    <w:rsid w:val="008073B3"/>
    <w:rsid w:val="00807460"/>
    <w:rsid w:val="0080780E"/>
    <w:rsid w:val="00807B0A"/>
    <w:rsid w:val="008102CC"/>
    <w:rsid w:val="00810757"/>
    <w:rsid w:val="00810BC7"/>
    <w:rsid w:val="00810C91"/>
    <w:rsid w:val="00810E9A"/>
    <w:rsid w:val="0081189E"/>
    <w:rsid w:val="00811CF2"/>
    <w:rsid w:val="00811FB8"/>
    <w:rsid w:val="008126C2"/>
    <w:rsid w:val="00812C88"/>
    <w:rsid w:val="008132D6"/>
    <w:rsid w:val="00813616"/>
    <w:rsid w:val="00813B2A"/>
    <w:rsid w:val="00813C21"/>
    <w:rsid w:val="00813FF9"/>
    <w:rsid w:val="00814F8E"/>
    <w:rsid w:val="0081698E"/>
    <w:rsid w:val="008170EF"/>
    <w:rsid w:val="00817323"/>
    <w:rsid w:val="00817B9A"/>
    <w:rsid w:val="00817CC3"/>
    <w:rsid w:val="008212AA"/>
    <w:rsid w:val="00821353"/>
    <w:rsid w:val="00821934"/>
    <w:rsid w:val="00821CF8"/>
    <w:rsid w:val="00822315"/>
    <w:rsid w:val="00822A89"/>
    <w:rsid w:val="00823DE5"/>
    <w:rsid w:val="0082494E"/>
    <w:rsid w:val="00824967"/>
    <w:rsid w:val="00824E76"/>
    <w:rsid w:val="00825AA1"/>
    <w:rsid w:val="00825D89"/>
    <w:rsid w:val="008265BE"/>
    <w:rsid w:val="00826666"/>
    <w:rsid w:val="00827296"/>
    <w:rsid w:val="00827625"/>
    <w:rsid w:val="00827F52"/>
    <w:rsid w:val="00830161"/>
    <w:rsid w:val="008309AC"/>
    <w:rsid w:val="00830C9A"/>
    <w:rsid w:val="00830DCD"/>
    <w:rsid w:val="00830FA7"/>
    <w:rsid w:val="008311FF"/>
    <w:rsid w:val="0083130E"/>
    <w:rsid w:val="008315C3"/>
    <w:rsid w:val="00831CB4"/>
    <w:rsid w:val="008324FF"/>
    <w:rsid w:val="00832B27"/>
    <w:rsid w:val="00832F1B"/>
    <w:rsid w:val="008330C3"/>
    <w:rsid w:val="00833242"/>
    <w:rsid w:val="00833FCE"/>
    <w:rsid w:val="00834025"/>
    <w:rsid w:val="008358DF"/>
    <w:rsid w:val="00835DC2"/>
    <w:rsid w:val="00836BB3"/>
    <w:rsid w:val="00837609"/>
    <w:rsid w:val="00837D29"/>
    <w:rsid w:val="0084026A"/>
    <w:rsid w:val="00840908"/>
    <w:rsid w:val="008412B6"/>
    <w:rsid w:val="008412D2"/>
    <w:rsid w:val="008412E9"/>
    <w:rsid w:val="008414A0"/>
    <w:rsid w:val="00842FC7"/>
    <w:rsid w:val="008437F7"/>
    <w:rsid w:val="00844068"/>
    <w:rsid w:val="00844260"/>
    <w:rsid w:val="0084438C"/>
    <w:rsid w:val="00844F4D"/>
    <w:rsid w:val="00845D81"/>
    <w:rsid w:val="008465C7"/>
    <w:rsid w:val="008469A7"/>
    <w:rsid w:val="008469B2"/>
    <w:rsid w:val="00846B09"/>
    <w:rsid w:val="00846BDE"/>
    <w:rsid w:val="0085094F"/>
    <w:rsid w:val="00850987"/>
    <w:rsid w:val="00850FA9"/>
    <w:rsid w:val="008518D4"/>
    <w:rsid w:val="0085194A"/>
    <w:rsid w:val="00852AD0"/>
    <w:rsid w:val="00853F96"/>
    <w:rsid w:val="00854D8C"/>
    <w:rsid w:val="0085525B"/>
    <w:rsid w:val="00855551"/>
    <w:rsid w:val="00855612"/>
    <w:rsid w:val="008600CD"/>
    <w:rsid w:val="00860C14"/>
    <w:rsid w:val="0086128E"/>
    <w:rsid w:val="008613F6"/>
    <w:rsid w:val="008614E2"/>
    <w:rsid w:val="008625DF"/>
    <w:rsid w:val="00862882"/>
    <w:rsid w:val="00862936"/>
    <w:rsid w:val="00863306"/>
    <w:rsid w:val="0086354C"/>
    <w:rsid w:val="00863768"/>
    <w:rsid w:val="00864DEE"/>
    <w:rsid w:val="00865915"/>
    <w:rsid w:val="00866224"/>
    <w:rsid w:val="00866BCC"/>
    <w:rsid w:val="00867537"/>
    <w:rsid w:val="008700B5"/>
    <w:rsid w:val="00871561"/>
    <w:rsid w:val="00871562"/>
    <w:rsid w:val="00871B98"/>
    <w:rsid w:val="00871DCF"/>
    <w:rsid w:val="00871F7B"/>
    <w:rsid w:val="00872A71"/>
    <w:rsid w:val="00872B0E"/>
    <w:rsid w:val="008730BD"/>
    <w:rsid w:val="00873E8A"/>
    <w:rsid w:val="0087421E"/>
    <w:rsid w:val="008745BF"/>
    <w:rsid w:val="00874678"/>
    <w:rsid w:val="0087616E"/>
    <w:rsid w:val="0087621D"/>
    <w:rsid w:val="00876B64"/>
    <w:rsid w:val="00876E74"/>
    <w:rsid w:val="008779BA"/>
    <w:rsid w:val="008802F6"/>
    <w:rsid w:val="00880961"/>
    <w:rsid w:val="00880BB3"/>
    <w:rsid w:val="00881121"/>
    <w:rsid w:val="00881A5A"/>
    <w:rsid w:val="00881C39"/>
    <w:rsid w:val="00881F8F"/>
    <w:rsid w:val="008822DE"/>
    <w:rsid w:val="00882B39"/>
    <w:rsid w:val="00882D4C"/>
    <w:rsid w:val="00882ED2"/>
    <w:rsid w:val="00883608"/>
    <w:rsid w:val="00884F9F"/>
    <w:rsid w:val="0088509D"/>
    <w:rsid w:val="00885608"/>
    <w:rsid w:val="00886061"/>
    <w:rsid w:val="0088676C"/>
    <w:rsid w:val="00886FFC"/>
    <w:rsid w:val="00887799"/>
    <w:rsid w:val="008905EE"/>
    <w:rsid w:val="0089063A"/>
    <w:rsid w:val="00890CDA"/>
    <w:rsid w:val="00892439"/>
    <w:rsid w:val="00893407"/>
    <w:rsid w:val="008936E5"/>
    <w:rsid w:val="0089373F"/>
    <w:rsid w:val="00893D84"/>
    <w:rsid w:val="0089407B"/>
    <w:rsid w:val="00895DD1"/>
    <w:rsid w:val="00895E95"/>
    <w:rsid w:val="00895F4C"/>
    <w:rsid w:val="00896288"/>
    <w:rsid w:val="00897087"/>
    <w:rsid w:val="00897AE2"/>
    <w:rsid w:val="00897AE6"/>
    <w:rsid w:val="008A04CE"/>
    <w:rsid w:val="008A0C73"/>
    <w:rsid w:val="008A0E4F"/>
    <w:rsid w:val="008A0FB3"/>
    <w:rsid w:val="008A2217"/>
    <w:rsid w:val="008A27E9"/>
    <w:rsid w:val="008A3091"/>
    <w:rsid w:val="008A361A"/>
    <w:rsid w:val="008A38C1"/>
    <w:rsid w:val="008A397F"/>
    <w:rsid w:val="008A3B5A"/>
    <w:rsid w:val="008A3C70"/>
    <w:rsid w:val="008A4195"/>
    <w:rsid w:val="008A41D0"/>
    <w:rsid w:val="008A5402"/>
    <w:rsid w:val="008A55A8"/>
    <w:rsid w:val="008A58E6"/>
    <w:rsid w:val="008A5B45"/>
    <w:rsid w:val="008A6151"/>
    <w:rsid w:val="008A61F6"/>
    <w:rsid w:val="008A77B7"/>
    <w:rsid w:val="008A78B4"/>
    <w:rsid w:val="008A7D49"/>
    <w:rsid w:val="008B0598"/>
    <w:rsid w:val="008B06FC"/>
    <w:rsid w:val="008B135A"/>
    <w:rsid w:val="008B1DAB"/>
    <w:rsid w:val="008B20D9"/>
    <w:rsid w:val="008B260F"/>
    <w:rsid w:val="008B2A44"/>
    <w:rsid w:val="008B3409"/>
    <w:rsid w:val="008B4295"/>
    <w:rsid w:val="008B433D"/>
    <w:rsid w:val="008B501D"/>
    <w:rsid w:val="008B50BC"/>
    <w:rsid w:val="008B5452"/>
    <w:rsid w:val="008B6E1F"/>
    <w:rsid w:val="008B6F7F"/>
    <w:rsid w:val="008B7773"/>
    <w:rsid w:val="008B782B"/>
    <w:rsid w:val="008C1330"/>
    <w:rsid w:val="008C1825"/>
    <w:rsid w:val="008C1BEE"/>
    <w:rsid w:val="008C2235"/>
    <w:rsid w:val="008C2887"/>
    <w:rsid w:val="008C2955"/>
    <w:rsid w:val="008C2F09"/>
    <w:rsid w:val="008C379A"/>
    <w:rsid w:val="008C3B85"/>
    <w:rsid w:val="008C5417"/>
    <w:rsid w:val="008C7264"/>
    <w:rsid w:val="008C7D1B"/>
    <w:rsid w:val="008D0131"/>
    <w:rsid w:val="008D05FE"/>
    <w:rsid w:val="008D0B12"/>
    <w:rsid w:val="008D15C6"/>
    <w:rsid w:val="008D1962"/>
    <w:rsid w:val="008D2495"/>
    <w:rsid w:val="008D26D2"/>
    <w:rsid w:val="008D2881"/>
    <w:rsid w:val="008D3452"/>
    <w:rsid w:val="008D4182"/>
    <w:rsid w:val="008D42A9"/>
    <w:rsid w:val="008D4B74"/>
    <w:rsid w:val="008D5619"/>
    <w:rsid w:val="008D5A3F"/>
    <w:rsid w:val="008D6196"/>
    <w:rsid w:val="008D683F"/>
    <w:rsid w:val="008D6E38"/>
    <w:rsid w:val="008D7345"/>
    <w:rsid w:val="008D745B"/>
    <w:rsid w:val="008D7A8E"/>
    <w:rsid w:val="008D7E0F"/>
    <w:rsid w:val="008E1460"/>
    <w:rsid w:val="008E1951"/>
    <w:rsid w:val="008E1D49"/>
    <w:rsid w:val="008E21D0"/>
    <w:rsid w:val="008E22D6"/>
    <w:rsid w:val="008E2990"/>
    <w:rsid w:val="008E2997"/>
    <w:rsid w:val="008E3479"/>
    <w:rsid w:val="008E3B35"/>
    <w:rsid w:val="008E45F9"/>
    <w:rsid w:val="008E4D54"/>
    <w:rsid w:val="008E50AF"/>
    <w:rsid w:val="008E51FC"/>
    <w:rsid w:val="008E6D45"/>
    <w:rsid w:val="008E7B01"/>
    <w:rsid w:val="008F02EA"/>
    <w:rsid w:val="008F2D7F"/>
    <w:rsid w:val="008F36DD"/>
    <w:rsid w:val="008F39C2"/>
    <w:rsid w:val="008F46D5"/>
    <w:rsid w:val="008F4A66"/>
    <w:rsid w:val="008F4B96"/>
    <w:rsid w:val="008F5A4D"/>
    <w:rsid w:val="008F5D2F"/>
    <w:rsid w:val="008F6B49"/>
    <w:rsid w:val="008F7EEF"/>
    <w:rsid w:val="00900578"/>
    <w:rsid w:val="0090198B"/>
    <w:rsid w:val="009024D8"/>
    <w:rsid w:val="009025DC"/>
    <w:rsid w:val="00902CCC"/>
    <w:rsid w:val="00903368"/>
    <w:rsid w:val="00903B3B"/>
    <w:rsid w:val="00904037"/>
    <w:rsid w:val="009048BF"/>
    <w:rsid w:val="00904B34"/>
    <w:rsid w:val="00904E80"/>
    <w:rsid w:val="009056F9"/>
    <w:rsid w:val="009061B2"/>
    <w:rsid w:val="009068D4"/>
    <w:rsid w:val="00906A23"/>
    <w:rsid w:val="00906DE3"/>
    <w:rsid w:val="00907B59"/>
    <w:rsid w:val="00907C1F"/>
    <w:rsid w:val="00910505"/>
    <w:rsid w:val="0091088B"/>
    <w:rsid w:val="00910ADB"/>
    <w:rsid w:val="0091124D"/>
    <w:rsid w:val="00911D51"/>
    <w:rsid w:val="00911D82"/>
    <w:rsid w:val="009124E4"/>
    <w:rsid w:val="009129C4"/>
    <w:rsid w:val="00912AB3"/>
    <w:rsid w:val="009146C0"/>
    <w:rsid w:val="0091503E"/>
    <w:rsid w:val="009155B3"/>
    <w:rsid w:val="0091611D"/>
    <w:rsid w:val="00916155"/>
    <w:rsid w:val="0091643B"/>
    <w:rsid w:val="00916CC3"/>
    <w:rsid w:val="009202BF"/>
    <w:rsid w:val="009203E8"/>
    <w:rsid w:val="00920722"/>
    <w:rsid w:val="00920E58"/>
    <w:rsid w:val="0092118E"/>
    <w:rsid w:val="00921792"/>
    <w:rsid w:val="0092208F"/>
    <w:rsid w:val="009221B2"/>
    <w:rsid w:val="00922C9C"/>
    <w:rsid w:val="009231EA"/>
    <w:rsid w:val="00923BFD"/>
    <w:rsid w:val="009255F9"/>
    <w:rsid w:val="009257F3"/>
    <w:rsid w:val="00925B38"/>
    <w:rsid w:val="0092639D"/>
    <w:rsid w:val="00927ED0"/>
    <w:rsid w:val="009303DE"/>
    <w:rsid w:val="00930730"/>
    <w:rsid w:val="00930BF9"/>
    <w:rsid w:val="00931034"/>
    <w:rsid w:val="0093129A"/>
    <w:rsid w:val="0093156C"/>
    <w:rsid w:val="009315E8"/>
    <w:rsid w:val="0093192E"/>
    <w:rsid w:val="00932093"/>
    <w:rsid w:val="00933A8C"/>
    <w:rsid w:val="00933C9B"/>
    <w:rsid w:val="00934A37"/>
    <w:rsid w:val="00934C39"/>
    <w:rsid w:val="00934E5A"/>
    <w:rsid w:val="00934F40"/>
    <w:rsid w:val="00935646"/>
    <w:rsid w:val="00935E9D"/>
    <w:rsid w:val="009366B5"/>
    <w:rsid w:val="00936E7B"/>
    <w:rsid w:val="009375AF"/>
    <w:rsid w:val="00940153"/>
    <w:rsid w:val="00940AA1"/>
    <w:rsid w:val="00941AC9"/>
    <w:rsid w:val="0094210D"/>
    <w:rsid w:val="009427D3"/>
    <w:rsid w:val="00942C18"/>
    <w:rsid w:val="00942C9C"/>
    <w:rsid w:val="00943B60"/>
    <w:rsid w:val="00943FAC"/>
    <w:rsid w:val="009444A7"/>
    <w:rsid w:val="009444CF"/>
    <w:rsid w:val="00944994"/>
    <w:rsid w:val="00946FE1"/>
    <w:rsid w:val="00947865"/>
    <w:rsid w:val="009479E7"/>
    <w:rsid w:val="00947F56"/>
    <w:rsid w:val="00950052"/>
    <w:rsid w:val="0095049B"/>
    <w:rsid w:val="00952B21"/>
    <w:rsid w:val="00954CB2"/>
    <w:rsid w:val="00954F69"/>
    <w:rsid w:val="00955448"/>
    <w:rsid w:val="00955891"/>
    <w:rsid w:val="00955C01"/>
    <w:rsid w:val="00955EAB"/>
    <w:rsid w:val="00956047"/>
    <w:rsid w:val="009565E3"/>
    <w:rsid w:val="00957746"/>
    <w:rsid w:val="00957CD2"/>
    <w:rsid w:val="00957E4C"/>
    <w:rsid w:val="00960CC1"/>
    <w:rsid w:val="00960E14"/>
    <w:rsid w:val="009614AB"/>
    <w:rsid w:val="009616A0"/>
    <w:rsid w:val="009622C8"/>
    <w:rsid w:val="00962A6F"/>
    <w:rsid w:val="00962DE5"/>
    <w:rsid w:val="0096391A"/>
    <w:rsid w:val="00964440"/>
    <w:rsid w:val="0096466A"/>
    <w:rsid w:val="00965415"/>
    <w:rsid w:val="009654C1"/>
    <w:rsid w:val="00967754"/>
    <w:rsid w:val="009679B2"/>
    <w:rsid w:val="00967CF0"/>
    <w:rsid w:val="00970DC9"/>
    <w:rsid w:val="00971422"/>
    <w:rsid w:val="0097153B"/>
    <w:rsid w:val="00971E8F"/>
    <w:rsid w:val="009737A6"/>
    <w:rsid w:val="00975448"/>
    <w:rsid w:val="009762C5"/>
    <w:rsid w:val="009762E7"/>
    <w:rsid w:val="009764CA"/>
    <w:rsid w:val="009766C4"/>
    <w:rsid w:val="00976975"/>
    <w:rsid w:val="00976ACA"/>
    <w:rsid w:val="00977306"/>
    <w:rsid w:val="0098014E"/>
    <w:rsid w:val="009803B4"/>
    <w:rsid w:val="009815C9"/>
    <w:rsid w:val="00981691"/>
    <w:rsid w:val="00982898"/>
    <w:rsid w:val="00982DC9"/>
    <w:rsid w:val="00983FAE"/>
    <w:rsid w:val="00984600"/>
    <w:rsid w:val="0098487D"/>
    <w:rsid w:val="00984C4B"/>
    <w:rsid w:val="00985AE8"/>
    <w:rsid w:val="00985DB3"/>
    <w:rsid w:val="0098605F"/>
    <w:rsid w:val="00986376"/>
    <w:rsid w:val="009869F1"/>
    <w:rsid w:val="00986FDC"/>
    <w:rsid w:val="009872B9"/>
    <w:rsid w:val="00987853"/>
    <w:rsid w:val="0098795B"/>
    <w:rsid w:val="00987E66"/>
    <w:rsid w:val="00990F75"/>
    <w:rsid w:val="00991128"/>
    <w:rsid w:val="0099152C"/>
    <w:rsid w:val="009922E3"/>
    <w:rsid w:val="00992768"/>
    <w:rsid w:val="00993CA8"/>
    <w:rsid w:val="00993F6B"/>
    <w:rsid w:val="0099409A"/>
    <w:rsid w:val="00994CC6"/>
    <w:rsid w:val="00995BC6"/>
    <w:rsid w:val="009962F8"/>
    <w:rsid w:val="009967FD"/>
    <w:rsid w:val="00996B9F"/>
    <w:rsid w:val="00996BEE"/>
    <w:rsid w:val="0099798A"/>
    <w:rsid w:val="009A06C0"/>
    <w:rsid w:val="009A1267"/>
    <w:rsid w:val="009A1280"/>
    <w:rsid w:val="009A15D6"/>
    <w:rsid w:val="009A199A"/>
    <w:rsid w:val="009A2524"/>
    <w:rsid w:val="009A2AEE"/>
    <w:rsid w:val="009A359E"/>
    <w:rsid w:val="009A36CB"/>
    <w:rsid w:val="009A3943"/>
    <w:rsid w:val="009A3D3E"/>
    <w:rsid w:val="009A467B"/>
    <w:rsid w:val="009A47BE"/>
    <w:rsid w:val="009A600B"/>
    <w:rsid w:val="009A7054"/>
    <w:rsid w:val="009A775F"/>
    <w:rsid w:val="009A7854"/>
    <w:rsid w:val="009A7C44"/>
    <w:rsid w:val="009A7FE5"/>
    <w:rsid w:val="009B00FC"/>
    <w:rsid w:val="009B088F"/>
    <w:rsid w:val="009B08A7"/>
    <w:rsid w:val="009B1AF8"/>
    <w:rsid w:val="009B1EA4"/>
    <w:rsid w:val="009B21F2"/>
    <w:rsid w:val="009B26F9"/>
    <w:rsid w:val="009B2DF6"/>
    <w:rsid w:val="009B32C3"/>
    <w:rsid w:val="009B36CE"/>
    <w:rsid w:val="009B37E4"/>
    <w:rsid w:val="009B38B2"/>
    <w:rsid w:val="009B3B39"/>
    <w:rsid w:val="009B3CAF"/>
    <w:rsid w:val="009B48F3"/>
    <w:rsid w:val="009B4AA1"/>
    <w:rsid w:val="009B5C4F"/>
    <w:rsid w:val="009B6826"/>
    <w:rsid w:val="009B78BA"/>
    <w:rsid w:val="009B79F5"/>
    <w:rsid w:val="009B7F18"/>
    <w:rsid w:val="009C00FD"/>
    <w:rsid w:val="009C024C"/>
    <w:rsid w:val="009C03BB"/>
    <w:rsid w:val="009C067C"/>
    <w:rsid w:val="009C06D6"/>
    <w:rsid w:val="009C1934"/>
    <w:rsid w:val="009C1E34"/>
    <w:rsid w:val="009C20F5"/>
    <w:rsid w:val="009C21E4"/>
    <w:rsid w:val="009C25C5"/>
    <w:rsid w:val="009C26D2"/>
    <w:rsid w:val="009C370D"/>
    <w:rsid w:val="009C409D"/>
    <w:rsid w:val="009C421A"/>
    <w:rsid w:val="009C4A33"/>
    <w:rsid w:val="009C4F87"/>
    <w:rsid w:val="009C54CB"/>
    <w:rsid w:val="009C57AF"/>
    <w:rsid w:val="009C5DDE"/>
    <w:rsid w:val="009C6666"/>
    <w:rsid w:val="009C6A23"/>
    <w:rsid w:val="009C7BD0"/>
    <w:rsid w:val="009C7C01"/>
    <w:rsid w:val="009D0B1F"/>
    <w:rsid w:val="009D0C26"/>
    <w:rsid w:val="009D0D75"/>
    <w:rsid w:val="009D213D"/>
    <w:rsid w:val="009D23EF"/>
    <w:rsid w:val="009D27B4"/>
    <w:rsid w:val="009D3316"/>
    <w:rsid w:val="009D3587"/>
    <w:rsid w:val="009D3A6F"/>
    <w:rsid w:val="009D4306"/>
    <w:rsid w:val="009D4E5C"/>
    <w:rsid w:val="009D50AE"/>
    <w:rsid w:val="009D523E"/>
    <w:rsid w:val="009D597A"/>
    <w:rsid w:val="009D5AD9"/>
    <w:rsid w:val="009D64CC"/>
    <w:rsid w:val="009D6685"/>
    <w:rsid w:val="009D73E7"/>
    <w:rsid w:val="009D752D"/>
    <w:rsid w:val="009D757A"/>
    <w:rsid w:val="009D7A67"/>
    <w:rsid w:val="009E02FC"/>
    <w:rsid w:val="009E042F"/>
    <w:rsid w:val="009E1327"/>
    <w:rsid w:val="009E256C"/>
    <w:rsid w:val="009E2DEF"/>
    <w:rsid w:val="009E31FC"/>
    <w:rsid w:val="009E3C10"/>
    <w:rsid w:val="009E42D7"/>
    <w:rsid w:val="009E4BAF"/>
    <w:rsid w:val="009E4F54"/>
    <w:rsid w:val="009E531E"/>
    <w:rsid w:val="009E58B9"/>
    <w:rsid w:val="009E5ADB"/>
    <w:rsid w:val="009E5EC6"/>
    <w:rsid w:val="009E6AE6"/>
    <w:rsid w:val="009F0304"/>
    <w:rsid w:val="009F0605"/>
    <w:rsid w:val="009F0E55"/>
    <w:rsid w:val="009F1074"/>
    <w:rsid w:val="009F1F48"/>
    <w:rsid w:val="009F3D93"/>
    <w:rsid w:val="009F4108"/>
    <w:rsid w:val="009F48C9"/>
    <w:rsid w:val="009F55BD"/>
    <w:rsid w:val="009F5ABE"/>
    <w:rsid w:val="009F6682"/>
    <w:rsid w:val="009F66AE"/>
    <w:rsid w:val="009F76F9"/>
    <w:rsid w:val="00A000DF"/>
    <w:rsid w:val="00A00299"/>
    <w:rsid w:val="00A008A0"/>
    <w:rsid w:val="00A01226"/>
    <w:rsid w:val="00A01C24"/>
    <w:rsid w:val="00A02319"/>
    <w:rsid w:val="00A02683"/>
    <w:rsid w:val="00A03A45"/>
    <w:rsid w:val="00A03B3B"/>
    <w:rsid w:val="00A047D4"/>
    <w:rsid w:val="00A04C1A"/>
    <w:rsid w:val="00A05CE8"/>
    <w:rsid w:val="00A07961"/>
    <w:rsid w:val="00A10399"/>
    <w:rsid w:val="00A1103A"/>
    <w:rsid w:val="00A11309"/>
    <w:rsid w:val="00A11D96"/>
    <w:rsid w:val="00A13AE4"/>
    <w:rsid w:val="00A13FB5"/>
    <w:rsid w:val="00A14834"/>
    <w:rsid w:val="00A15B8A"/>
    <w:rsid w:val="00A165D8"/>
    <w:rsid w:val="00A167AA"/>
    <w:rsid w:val="00A16D63"/>
    <w:rsid w:val="00A2001A"/>
    <w:rsid w:val="00A2045D"/>
    <w:rsid w:val="00A20BA6"/>
    <w:rsid w:val="00A21968"/>
    <w:rsid w:val="00A224E0"/>
    <w:rsid w:val="00A22D2F"/>
    <w:rsid w:val="00A22F00"/>
    <w:rsid w:val="00A23C89"/>
    <w:rsid w:val="00A23E6C"/>
    <w:rsid w:val="00A248F6"/>
    <w:rsid w:val="00A24BBC"/>
    <w:rsid w:val="00A24E60"/>
    <w:rsid w:val="00A25014"/>
    <w:rsid w:val="00A2536E"/>
    <w:rsid w:val="00A25D12"/>
    <w:rsid w:val="00A26B23"/>
    <w:rsid w:val="00A26B2C"/>
    <w:rsid w:val="00A26BE0"/>
    <w:rsid w:val="00A26FCB"/>
    <w:rsid w:val="00A27172"/>
    <w:rsid w:val="00A27DE8"/>
    <w:rsid w:val="00A304F9"/>
    <w:rsid w:val="00A3111E"/>
    <w:rsid w:val="00A31355"/>
    <w:rsid w:val="00A33156"/>
    <w:rsid w:val="00A339FF"/>
    <w:rsid w:val="00A33E46"/>
    <w:rsid w:val="00A34016"/>
    <w:rsid w:val="00A34022"/>
    <w:rsid w:val="00A340C2"/>
    <w:rsid w:val="00A34215"/>
    <w:rsid w:val="00A34790"/>
    <w:rsid w:val="00A34A14"/>
    <w:rsid w:val="00A3623B"/>
    <w:rsid w:val="00A366FD"/>
    <w:rsid w:val="00A36B31"/>
    <w:rsid w:val="00A36D36"/>
    <w:rsid w:val="00A374AB"/>
    <w:rsid w:val="00A37D49"/>
    <w:rsid w:val="00A37D5B"/>
    <w:rsid w:val="00A405F3"/>
    <w:rsid w:val="00A407D9"/>
    <w:rsid w:val="00A40DAE"/>
    <w:rsid w:val="00A40DF2"/>
    <w:rsid w:val="00A41E34"/>
    <w:rsid w:val="00A4257C"/>
    <w:rsid w:val="00A42C30"/>
    <w:rsid w:val="00A42FD8"/>
    <w:rsid w:val="00A4393B"/>
    <w:rsid w:val="00A43C5F"/>
    <w:rsid w:val="00A44ECB"/>
    <w:rsid w:val="00A458DB"/>
    <w:rsid w:val="00A45948"/>
    <w:rsid w:val="00A45DB8"/>
    <w:rsid w:val="00A4674A"/>
    <w:rsid w:val="00A46A85"/>
    <w:rsid w:val="00A46F07"/>
    <w:rsid w:val="00A4705F"/>
    <w:rsid w:val="00A47104"/>
    <w:rsid w:val="00A50068"/>
    <w:rsid w:val="00A50838"/>
    <w:rsid w:val="00A50934"/>
    <w:rsid w:val="00A51CBF"/>
    <w:rsid w:val="00A5235C"/>
    <w:rsid w:val="00A528E1"/>
    <w:rsid w:val="00A531EB"/>
    <w:rsid w:val="00A531FE"/>
    <w:rsid w:val="00A5325F"/>
    <w:rsid w:val="00A53332"/>
    <w:rsid w:val="00A533C8"/>
    <w:rsid w:val="00A539FF"/>
    <w:rsid w:val="00A53B85"/>
    <w:rsid w:val="00A545CF"/>
    <w:rsid w:val="00A5533A"/>
    <w:rsid w:val="00A554CA"/>
    <w:rsid w:val="00A556A6"/>
    <w:rsid w:val="00A55AC8"/>
    <w:rsid w:val="00A55AF1"/>
    <w:rsid w:val="00A55C9D"/>
    <w:rsid w:val="00A56884"/>
    <w:rsid w:val="00A569B3"/>
    <w:rsid w:val="00A56F80"/>
    <w:rsid w:val="00A570A2"/>
    <w:rsid w:val="00A573E0"/>
    <w:rsid w:val="00A579A7"/>
    <w:rsid w:val="00A57B02"/>
    <w:rsid w:val="00A57B41"/>
    <w:rsid w:val="00A60C6C"/>
    <w:rsid w:val="00A60D59"/>
    <w:rsid w:val="00A61D64"/>
    <w:rsid w:val="00A62340"/>
    <w:rsid w:val="00A62B60"/>
    <w:rsid w:val="00A631EB"/>
    <w:rsid w:val="00A646F7"/>
    <w:rsid w:val="00A64EC3"/>
    <w:rsid w:val="00A662BE"/>
    <w:rsid w:val="00A66A8E"/>
    <w:rsid w:val="00A67668"/>
    <w:rsid w:val="00A6785D"/>
    <w:rsid w:val="00A67EC4"/>
    <w:rsid w:val="00A702D4"/>
    <w:rsid w:val="00A70468"/>
    <w:rsid w:val="00A70998"/>
    <w:rsid w:val="00A71E25"/>
    <w:rsid w:val="00A7251A"/>
    <w:rsid w:val="00A73180"/>
    <w:rsid w:val="00A739D5"/>
    <w:rsid w:val="00A741DD"/>
    <w:rsid w:val="00A74B6B"/>
    <w:rsid w:val="00A74F05"/>
    <w:rsid w:val="00A753DE"/>
    <w:rsid w:val="00A755BA"/>
    <w:rsid w:val="00A76CD9"/>
    <w:rsid w:val="00A77E42"/>
    <w:rsid w:val="00A77F3E"/>
    <w:rsid w:val="00A80348"/>
    <w:rsid w:val="00A80B8D"/>
    <w:rsid w:val="00A81B0C"/>
    <w:rsid w:val="00A81D39"/>
    <w:rsid w:val="00A82011"/>
    <w:rsid w:val="00A82513"/>
    <w:rsid w:val="00A83CC2"/>
    <w:rsid w:val="00A83D29"/>
    <w:rsid w:val="00A851C0"/>
    <w:rsid w:val="00A85446"/>
    <w:rsid w:val="00A85464"/>
    <w:rsid w:val="00A85ED1"/>
    <w:rsid w:val="00A862B3"/>
    <w:rsid w:val="00A868AA"/>
    <w:rsid w:val="00A86D9B"/>
    <w:rsid w:val="00A87209"/>
    <w:rsid w:val="00A90CE5"/>
    <w:rsid w:val="00A90D10"/>
    <w:rsid w:val="00A90E4C"/>
    <w:rsid w:val="00A91519"/>
    <w:rsid w:val="00A92BA2"/>
    <w:rsid w:val="00A93094"/>
    <w:rsid w:val="00A93128"/>
    <w:rsid w:val="00A939BE"/>
    <w:rsid w:val="00A93B22"/>
    <w:rsid w:val="00A96050"/>
    <w:rsid w:val="00A97C2D"/>
    <w:rsid w:val="00A97DCC"/>
    <w:rsid w:val="00AA0165"/>
    <w:rsid w:val="00AA043D"/>
    <w:rsid w:val="00AA04A2"/>
    <w:rsid w:val="00AA087B"/>
    <w:rsid w:val="00AA1949"/>
    <w:rsid w:val="00AA1FA3"/>
    <w:rsid w:val="00AA2DA5"/>
    <w:rsid w:val="00AA2FAF"/>
    <w:rsid w:val="00AA30E0"/>
    <w:rsid w:val="00AA3AAF"/>
    <w:rsid w:val="00AA4A07"/>
    <w:rsid w:val="00AA4F9C"/>
    <w:rsid w:val="00AA522F"/>
    <w:rsid w:val="00AA576B"/>
    <w:rsid w:val="00AA597C"/>
    <w:rsid w:val="00AA5EFD"/>
    <w:rsid w:val="00AA630C"/>
    <w:rsid w:val="00AA7581"/>
    <w:rsid w:val="00AA763D"/>
    <w:rsid w:val="00AA7B0D"/>
    <w:rsid w:val="00AA7DAD"/>
    <w:rsid w:val="00AB020B"/>
    <w:rsid w:val="00AB0E97"/>
    <w:rsid w:val="00AB1FD6"/>
    <w:rsid w:val="00AB2159"/>
    <w:rsid w:val="00AB26E7"/>
    <w:rsid w:val="00AB3034"/>
    <w:rsid w:val="00AB3BA9"/>
    <w:rsid w:val="00AB3F91"/>
    <w:rsid w:val="00AB4090"/>
    <w:rsid w:val="00AB459E"/>
    <w:rsid w:val="00AB4BEA"/>
    <w:rsid w:val="00AB4F68"/>
    <w:rsid w:val="00AB56AE"/>
    <w:rsid w:val="00AB667A"/>
    <w:rsid w:val="00AB6EF6"/>
    <w:rsid w:val="00AB762F"/>
    <w:rsid w:val="00AB79D3"/>
    <w:rsid w:val="00AC00F7"/>
    <w:rsid w:val="00AC01CC"/>
    <w:rsid w:val="00AC067D"/>
    <w:rsid w:val="00AC0DCA"/>
    <w:rsid w:val="00AC10FE"/>
    <w:rsid w:val="00AC1485"/>
    <w:rsid w:val="00AC1C03"/>
    <w:rsid w:val="00AC1C10"/>
    <w:rsid w:val="00AC1F79"/>
    <w:rsid w:val="00AC272E"/>
    <w:rsid w:val="00AC27B3"/>
    <w:rsid w:val="00AC2F4F"/>
    <w:rsid w:val="00AC35B3"/>
    <w:rsid w:val="00AC37E5"/>
    <w:rsid w:val="00AC3BFF"/>
    <w:rsid w:val="00AC421D"/>
    <w:rsid w:val="00AC4DE3"/>
    <w:rsid w:val="00AC5156"/>
    <w:rsid w:val="00AC518D"/>
    <w:rsid w:val="00AC51BB"/>
    <w:rsid w:val="00AC51CC"/>
    <w:rsid w:val="00AC54ED"/>
    <w:rsid w:val="00AC5724"/>
    <w:rsid w:val="00AC5983"/>
    <w:rsid w:val="00AC5B52"/>
    <w:rsid w:val="00AC61E2"/>
    <w:rsid w:val="00AC689F"/>
    <w:rsid w:val="00AC76E0"/>
    <w:rsid w:val="00AC77B5"/>
    <w:rsid w:val="00AD137A"/>
    <w:rsid w:val="00AD1855"/>
    <w:rsid w:val="00AD1930"/>
    <w:rsid w:val="00AD299E"/>
    <w:rsid w:val="00AD2F52"/>
    <w:rsid w:val="00AD2F84"/>
    <w:rsid w:val="00AD3048"/>
    <w:rsid w:val="00AD34F1"/>
    <w:rsid w:val="00AD478A"/>
    <w:rsid w:val="00AD4A0C"/>
    <w:rsid w:val="00AD57AF"/>
    <w:rsid w:val="00AD58E1"/>
    <w:rsid w:val="00AD5A52"/>
    <w:rsid w:val="00AD66A2"/>
    <w:rsid w:val="00AD6B65"/>
    <w:rsid w:val="00AD7130"/>
    <w:rsid w:val="00AE066F"/>
    <w:rsid w:val="00AE0DA7"/>
    <w:rsid w:val="00AE123E"/>
    <w:rsid w:val="00AE172B"/>
    <w:rsid w:val="00AE19A1"/>
    <w:rsid w:val="00AE243D"/>
    <w:rsid w:val="00AE34AA"/>
    <w:rsid w:val="00AE3E24"/>
    <w:rsid w:val="00AE3FD3"/>
    <w:rsid w:val="00AE412F"/>
    <w:rsid w:val="00AE6562"/>
    <w:rsid w:val="00AE6A96"/>
    <w:rsid w:val="00AE7C42"/>
    <w:rsid w:val="00AF0292"/>
    <w:rsid w:val="00AF0385"/>
    <w:rsid w:val="00AF1666"/>
    <w:rsid w:val="00AF1A7D"/>
    <w:rsid w:val="00AF3453"/>
    <w:rsid w:val="00AF370C"/>
    <w:rsid w:val="00AF3BF4"/>
    <w:rsid w:val="00AF3BFA"/>
    <w:rsid w:val="00AF4CCC"/>
    <w:rsid w:val="00AF5294"/>
    <w:rsid w:val="00AF53B7"/>
    <w:rsid w:val="00AF5EAA"/>
    <w:rsid w:val="00AF7A18"/>
    <w:rsid w:val="00AF7D6A"/>
    <w:rsid w:val="00B00319"/>
    <w:rsid w:val="00B00FF9"/>
    <w:rsid w:val="00B01264"/>
    <w:rsid w:val="00B012BE"/>
    <w:rsid w:val="00B02A3C"/>
    <w:rsid w:val="00B02A6D"/>
    <w:rsid w:val="00B02C15"/>
    <w:rsid w:val="00B02E99"/>
    <w:rsid w:val="00B03532"/>
    <w:rsid w:val="00B03C11"/>
    <w:rsid w:val="00B03FA0"/>
    <w:rsid w:val="00B048E9"/>
    <w:rsid w:val="00B04BB0"/>
    <w:rsid w:val="00B04C84"/>
    <w:rsid w:val="00B05211"/>
    <w:rsid w:val="00B052CF"/>
    <w:rsid w:val="00B0544C"/>
    <w:rsid w:val="00B059E7"/>
    <w:rsid w:val="00B05B68"/>
    <w:rsid w:val="00B064A2"/>
    <w:rsid w:val="00B076A7"/>
    <w:rsid w:val="00B10259"/>
    <w:rsid w:val="00B1035E"/>
    <w:rsid w:val="00B103CF"/>
    <w:rsid w:val="00B10492"/>
    <w:rsid w:val="00B10C87"/>
    <w:rsid w:val="00B11A15"/>
    <w:rsid w:val="00B11C0A"/>
    <w:rsid w:val="00B11DF2"/>
    <w:rsid w:val="00B11DFC"/>
    <w:rsid w:val="00B120EC"/>
    <w:rsid w:val="00B12247"/>
    <w:rsid w:val="00B12855"/>
    <w:rsid w:val="00B128D0"/>
    <w:rsid w:val="00B133AB"/>
    <w:rsid w:val="00B13A7C"/>
    <w:rsid w:val="00B13CD7"/>
    <w:rsid w:val="00B14B5B"/>
    <w:rsid w:val="00B1559B"/>
    <w:rsid w:val="00B15918"/>
    <w:rsid w:val="00B15B0B"/>
    <w:rsid w:val="00B160C8"/>
    <w:rsid w:val="00B16537"/>
    <w:rsid w:val="00B16561"/>
    <w:rsid w:val="00B1668D"/>
    <w:rsid w:val="00B166DF"/>
    <w:rsid w:val="00B169BC"/>
    <w:rsid w:val="00B16A3B"/>
    <w:rsid w:val="00B17CF8"/>
    <w:rsid w:val="00B2045C"/>
    <w:rsid w:val="00B20875"/>
    <w:rsid w:val="00B20CFE"/>
    <w:rsid w:val="00B21291"/>
    <w:rsid w:val="00B22181"/>
    <w:rsid w:val="00B22837"/>
    <w:rsid w:val="00B22869"/>
    <w:rsid w:val="00B238DC"/>
    <w:rsid w:val="00B23CFF"/>
    <w:rsid w:val="00B24192"/>
    <w:rsid w:val="00B243FC"/>
    <w:rsid w:val="00B248D8"/>
    <w:rsid w:val="00B2515F"/>
    <w:rsid w:val="00B25673"/>
    <w:rsid w:val="00B25915"/>
    <w:rsid w:val="00B25FA3"/>
    <w:rsid w:val="00B26070"/>
    <w:rsid w:val="00B263D0"/>
    <w:rsid w:val="00B26567"/>
    <w:rsid w:val="00B26931"/>
    <w:rsid w:val="00B26EC0"/>
    <w:rsid w:val="00B27748"/>
    <w:rsid w:val="00B27DF2"/>
    <w:rsid w:val="00B27E57"/>
    <w:rsid w:val="00B305DA"/>
    <w:rsid w:val="00B30F35"/>
    <w:rsid w:val="00B31361"/>
    <w:rsid w:val="00B32136"/>
    <w:rsid w:val="00B3230F"/>
    <w:rsid w:val="00B3245E"/>
    <w:rsid w:val="00B32D91"/>
    <w:rsid w:val="00B32F6D"/>
    <w:rsid w:val="00B3349A"/>
    <w:rsid w:val="00B34BDB"/>
    <w:rsid w:val="00B362EC"/>
    <w:rsid w:val="00B3687D"/>
    <w:rsid w:val="00B36D9D"/>
    <w:rsid w:val="00B37977"/>
    <w:rsid w:val="00B37D6F"/>
    <w:rsid w:val="00B40838"/>
    <w:rsid w:val="00B40897"/>
    <w:rsid w:val="00B40A93"/>
    <w:rsid w:val="00B40BCA"/>
    <w:rsid w:val="00B40ED8"/>
    <w:rsid w:val="00B40F39"/>
    <w:rsid w:val="00B4128D"/>
    <w:rsid w:val="00B4152E"/>
    <w:rsid w:val="00B41D91"/>
    <w:rsid w:val="00B42485"/>
    <w:rsid w:val="00B42899"/>
    <w:rsid w:val="00B4295E"/>
    <w:rsid w:val="00B43063"/>
    <w:rsid w:val="00B438E8"/>
    <w:rsid w:val="00B44489"/>
    <w:rsid w:val="00B44B1C"/>
    <w:rsid w:val="00B44C7C"/>
    <w:rsid w:val="00B450DC"/>
    <w:rsid w:val="00B45C59"/>
    <w:rsid w:val="00B46C61"/>
    <w:rsid w:val="00B472EB"/>
    <w:rsid w:val="00B47DE3"/>
    <w:rsid w:val="00B50063"/>
    <w:rsid w:val="00B507D4"/>
    <w:rsid w:val="00B5092A"/>
    <w:rsid w:val="00B50B61"/>
    <w:rsid w:val="00B513E7"/>
    <w:rsid w:val="00B51584"/>
    <w:rsid w:val="00B5212C"/>
    <w:rsid w:val="00B52835"/>
    <w:rsid w:val="00B52D8C"/>
    <w:rsid w:val="00B53039"/>
    <w:rsid w:val="00B53640"/>
    <w:rsid w:val="00B53B81"/>
    <w:rsid w:val="00B53E81"/>
    <w:rsid w:val="00B547C9"/>
    <w:rsid w:val="00B548FA"/>
    <w:rsid w:val="00B5493D"/>
    <w:rsid w:val="00B54ECA"/>
    <w:rsid w:val="00B553EC"/>
    <w:rsid w:val="00B556B0"/>
    <w:rsid w:val="00B57308"/>
    <w:rsid w:val="00B607CE"/>
    <w:rsid w:val="00B6136E"/>
    <w:rsid w:val="00B613C7"/>
    <w:rsid w:val="00B61EA8"/>
    <w:rsid w:val="00B62CD8"/>
    <w:rsid w:val="00B638D9"/>
    <w:rsid w:val="00B6410D"/>
    <w:rsid w:val="00B645F3"/>
    <w:rsid w:val="00B656FC"/>
    <w:rsid w:val="00B65842"/>
    <w:rsid w:val="00B65F01"/>
    <w:rsid w:val="00B671F1"/>
    <w:rsid w:val="00B70155"/>
    <w:rsid w:val="00B70715"/>
    <w:rsid w:val="00B70970"/>
    <w:rsid w:val="00B71207"/>
    <w:rsid w:val="00B73197"/>
    <w:rsid w:val="00B7352E"/>
    <w:rsid w:val="00B740E4"/>
    <w:rsid w:val="00B748CD"/>
    <w:rsid w:val="00B751E2"/>
    <w:rsid w:val="00B7632B"/>
    <w:rsid w:val="00B76EF4"/>
    <w:rsid w:val="00B773DE"/>
    <w:rsid w:val="00B779DE"/>
    <w:rsid w:val="00B77B95"/>
    <w:rsid w:val="00B77DDF"/>
    <w:rsid w:val="00B77E9E"/>
    <w:rsid w:val="00B80250"/>
    <w:rsid w:val="00B809BD"/>
    <w:rsid w:val="00B80E26"/>
    <w:rsid w:val="00B81250"/>
    <w:rsid w:val="00B819DA"/>
    <w:rsid w:val="00B81CD7"/>
    <w:rsid w:val="00B8276A"/>
    <w:rsid w:val="00B82E8F"/>
    <w:rsid w:val="00B83140"/>
    <w:rsid w:val="00B836BC"/>
    <w:rsid w:val="00B836FD"/>
    <w:rsid w:val="00B8412A"/>
    <w:rsid w:val="00B843DE"/>
    <w:rsid w:val="00B84F7A"/>
    <w:rsid w:val="00B8538E"/>
    <w:rsid w:val="00B8572E"/>
    <w:rsid w:val="00B85833"/>
    <w:rsid w:val="00B85A6B"/>
    <w:rsid w:val="00B85CA2"/>
    <w:rsid w:val="00B85CFE"/>
    <w:rsid w:val="00B86C05"/>
    <w:rsid w:val="00B8705D"/>
    <w:rsid w:val="00B871E2"/>
    <w:rsid w:val="00B87F26"/>
    <w:rsid w:val="00B9019D"/>
    <w:rsid w:val="00B90292"/>
    <w:rsid w:val="00B909DB"/>
    <w:rsid w:val="00B91003"/>
    <w:rsid w:val="00B91090"/>
    <w:rsid w:val="00B912C5"/>
    <w:rsid w:val="00B91412"/>
    <w:rsid w:val="00B9177F"/>
    <w:rsid w:val="00B9217B"/>
    <w:rsid w:val="00B92598"/>
    <w:rsid w:val="00B92C24"/>
    <w:rsid w:val="00B92D1D"/>
    <w:rsid w:val="00B933B3"/>
    <w:rsid w:val="00B936CD"/>
    <w:rsid w:val="00B94473"/>
    <w:rsid w:val="00B94E46"/>
    <w:rsid w:val="00B9582F"/>
    <w:rsid w:val="00B962D2"/>
    <w:rsid w:val="00B963D0"/>
    <w:rsid w:val="00B96C4E"/>
    <w:rsid w:val="00B97320"/>
    <w:rsid w:val="00B9765A"/>
    <w:rsid w:val="00B97C29"/>
    <w:rsid w:val="00BA002E"/>
    <w:rsid w:val="00BA023E"/>
    <w:rsid w:val="00BA095F"/>
    <w:rsid w:val="00BA09B3"/>
    <w:rsid w:val="00BA127E"/>
    <w:rsid w:val="00BA12FA"/>
    <w:rsid w:val="00BA2475"/>
    <w:rsid w:val="00BA2594"/>
    <w:rsid w:val="00BA2965"/>
    <w:rsid w:val="00BA29B3"/>
    <w:rsid w:val="00BA2A29"/>
    <w:rsid w:val="00BA30EF"/>
    <w:rsid w:val="00BA3119"/>
    <w:rsid w:val="00BA4827"/>
    <w:rsid w:val="00BA4A41"/>
    <w:rsid w:val="00BA5388"/>
    <w:rsid w:val="00BA583B"/>
    <w:rsid w:val="00BA5962"/>
    <w:rsid w:val="00BA6373"/>
    <w:rsid w:val="00BA7A01"/>
    <w:rsid w:val="00BB073B"/>
    <w:rsid w:val="00BB0A87"/>
    <w:rsid w:val="00BB0DF0"/>
    <w:rsid w:val="00BB1588"/>
    <w:rsid w:val="00BB184C"/>
    <w:rsid w:val="00BB2E83"/>
    <w:rsid w:val="00BB3AA8"/>
    <w:rsid w:val="00BB3BDE"/>
    <w:rsid w:val="00BB40AA"/>
    <w:rsid w:val="00BB42B5"/>
    <w:rsid w:val="00BB4AC0"/>
    <w:rsid w:val="00BB61CD"/>
    <w:rsid w:val="00BB6ED0"/>
    <w:rsid w:val="00BB7664"/>
    <w:rsid w:val="00BB7A4B"/>
    <w:rsid w:val="00BC091C"/>
    <w:rsid w:val="00BC1562"/>
    <w:rsid w:val="00BC1FB1"/>
    <w:rsid w:val="00BC31BD"/>
    <w:rsid w:val="00BC3214"/>
    <w:rsid w:val="00BC34C3"/>
    <w:rsid w:val="00BC3A41"/>
    <w:rsid w:val="00BC46BC"/>
    <w:rsid w:val="00BC5290"/>
    <w:rsid w:val="00BC6641"/>
    <w:rsid w:val="00BC7067"/>
    <w:rsid w:val="00BC767A"/>
    <w:rsid w:val="00BC7787"/>
    <w:rsid w:val="00BC7A05"/>
    <w:rsid w:val="00BD0E42"/>
    <w:rsid w:val="00BD1485"/>
    <w:rsid w:val="00BD292C"/>
    <w:rsid w:val="00BD2B88"/>
    <w:rsid w:val="00BD30CE"/>
    <w:rsid w:val="00BD34FD"/>
    <w:rsid w:val="00BD3848"/>
    <w:rsid w:val="00BD3EB0"/>
    <w:rsid w:val="00BD4910"/>
    <w:rsid w:val="00BD4DAA"/>
    <w:rsid w:val="00BD6414"/>
    <w:rsid w:val="00BD6610"/>
    <w:rsid w:val="00BD68A1"/>
    <w:rsid w:val="00BD7A6F"/>
    <w:rsid w:val="00BE00CE"/>
    <w:rsid w:val="00BE1455"/>
    <w:rsid w:val="00BE1709"/>
    <w:rsid w:val="00BE2CAC"/>
    <w:rsid w:val="00BE3EE6"/>
    <w:rsid w:val="00BE41A7"/>
    <w:rsid w:val="00BE4330"/>
    <w:rsid w:val="00BE43E2"/>
    <w:rsid w:val="00BE4644"/>
    <w:rsid w:val="00BE4AC9"/>
    <w:rsid w:val="00BE5D78"/>
    <w:rsid w:val="00BE616C"/>
    <w:rsid w:val="00BE757B"/>
    <w:rsid w:val="00BE7857"/>
    <w:rsid w:val="00BE7E8D"/>
    <w:rsid w:val="00BF01A2"/>
    <w:rsid w:val="00BF1A31"/>
    <w:rsid w:val="00BF1C0B"/>
    <w:rsid w:val="00BF2AAB"/>
    <w:rsid w:val="00BF2D68"/>
    <w:rsid w:val="00BF33B7"/>
    <w:rsid w:val="00BF395A"/>
    <w:rsid w:val="00BF53D9"/>
    <w:rsid w:val="00BF5A8D"/>
    <w:rsid w:val="00BF5F8A"/>
    <w:rsid w:val="00BF63C0"/>
    <w:rsid w:val="00BF665D"/>
    <w:rsid w:val="00BF750F"/>
    <w:rsid w:val="00C003AD"/>
    <w:rsid w:val="00C00482"/>
    <w:rsid w:val="00C006FC"/>
    <w:rsid w:val="00C00C45"/>
    <w:rsid w:val="00C017DC"/>
    <w:rsid w:val="00C02AD5"/>
    <w:rsid w:val="00C02E2E"/>
    <w:rsid w:val="00C04A90"/>
    <w:rsid w:val="00C05167"/>
    <w:rsid w:val="00C05956"/>
    <w:rsid w:val="00C05BF5"/>
    <w:rsid w:val="00C062D8"/>
    <w:rsid w:val="00C0677C"/>
    <w:rsid w:val="00C06D79"/>
    <w:rsid w:val="00C06F71"/>
    <w:rsid w:val="00C06F89"/>
    <w:rsid w:val="00C07F2E"/>
    <w:rsid w:val="00C10249"/>
    <w:rsid w:val="00C1042B"/>
    <w:rsid w:val="00C104C1"/>
    <w:rsid w:val="00C1093A"/>
    <w:rsid w:val="00C10DCA"/>
    <w:rsid w:val="00C10E3D"/>
    <w:rsid w:val="00C11EA1"/>
    <w:rsid w:val="00C129D9"/>
    <w:rsid w:val="00C12C78"/>
    <w:rsid w:val="00C1309E"/>
    <w:rsid w:val="00C13C0A"/>
    <w:rsid w:val="00C13C6E"/>
    <w:rsid w:val="00C14023"/>
    <w:rsid w:val="00C141EC"/>
    <w:rsid w:val="00C14638"/>
    <w:rsid w:val="00C146CF"/>
    <w:rsid w:val="00C14CE9"/>
    <w:rsid w:val="00C16022"/>
    <w:rsid w:val="00C161CB"/>
    <w:rsid w:val="00C16B1F"/>
    <w:rsid w:val="00C170C3"/>
    <w:rsid w:val="00C17702"/>
    <w:rsid w:val="00C177F4"/>
    <w:rsid w:val="00C17BA7"/>
    <w:rsid w:val="00C17F58"/>
    <w:rsid w:val="00C20B6E"/>
    <w:rsid w:val="00C21A3A"/>
    <w:rsid w:val="00C2235D"/>
    <w:rsid w:val="00C229FA"/>
    <w:rsid w:val="00C22A4F"/>
    <w:rsid w:val="00C2334F"/>
    <w:rsid w:val="00C23796"/>
    <w:rsid w:val="00C23863"/>
    <w:rsid w:val="00C23E25"/>
    <w:rsid w:val="00C23FDA"/>
    <w:rsid w:val="00C24024"/>
    <w:rsid w:val="00C2477C"/>
    <w:rsid w:val="00C24973"/>
    <w:rsid w:val="00C249B7"/>
    <w:rsid w:val="00C24CE2"/>
    <w:rsid w:val="00C24EB9"/>
    <w:rsid w:val="00C25004"/>
    <w:rsid w:val="00C25018"/>
    <w:rsid w:val="00C255E8"/>
    <w:rsid w:val="00C25911"/>
    <w:rsid w:val="00C25EB9"/>
    <w:rsid w:val="00C26058"/>
    <w:rsid w:val="00C26B5E"/>
    <w:rsid w:val="00C270F4"/>
    <w:rsid w:val="00C27528"/>
    <w:rsid w:val="00C27780"/>
    <w:rsid w:val="00C2778F"/>
    <w:rsid w:val="00C27B79"/>
    <w:rsid w:val="00C30B8F"/>
    <w:rsid w:val="00C31DC3"/>
    <w:rsid w:val="00C321C8"/>
    <w:rsid w:val="00C325F0"/>
    <w:rsid w:val="00C32CD7"/>
    <w:rsid w:val="00C32EB1"/>
    <w:rsid w:val="00C33271"/>
    <w:rsid w:val="00C33D4F"/>
    <w:rsid w:val="00C351D0"/>
    <w:rsid w:val="00C35543"/>
    <w:rsid w:val="00C3605C"/>
    <w:rsid w:val="00C36E40"/>
    <w:rsid w:val="00C37183"/>
    <w:rsid w:val="00C37194"/>
    <w:rsid w:val="00C40751"/>
    <w:rsid w:val="00C40ECA"/>
    <w:rsid w:val="00C413A5"/>
    <w:rsid w:val="00C426A0"/>
    <w:rsid w:val="00C43666"/>
    <w:rsid w:val="00C43CDB"/>
    <w:rsid w:val="00C43F9A"/>
    <w:rsid w:val="00C4401B"/>
    <w:rsid w:val="00C4473D"/>
    <w:rsid w:val="00C45919"/>
    <w:rsid w:val="00C45B6E"/>
    <w:rsid w:val="00C45ECD"/>
    <w:rsid w:val="00C468AA"/>
    <w:rsid w:val="00C50663"/>
    <w:rsid w:val="00C5085A"/>
    <w:rsid w:val="00C5090A"/>
    <w:rsid w:val="00C50C52"/>
    <w:rsid w:val="00C51109"/>
    <w:rsid w:val="00C515F3"/>
    <w:rsid w:val="00C516FD"/>
    <w:rsid w:val="00C51990"/>
    <w:rsid w:val="00C51AEF"/>
    <w:rsid w:val="00C52FD7"/>
    <w:rsid w:val="00C534C4"/>
    <w:rsid w:val="00C53A6B"/>
    <w:rsid w:val="00C53EE1"/>
    <w:rsid w:val="00C5461B"/>
    <w:rsid w:val="00C54989"/>
    <w:rsid w:val="00C551E9"/>
    <w:rsid w:val="00C5579F"/>
    <w:rsid w:val="00C55831"/>
    <w:rsid w:val="00C5661A"/>
    <w:rsid w:val="00C56DA3"/>
    <w:rsid w:val="00C57555"/>
    <w:rsid w:val="00C57AF1"/>
    <w:rsid w:val="00C6052E"/>
    <w:rsid w:val="00C60B2A"/>
    <w:rsid w:val="00C60C06"/>
    <w:rsid w:val="00C60E3B"/>
    <w:rsid w:val="00C617E7"/>
    <w:rsid w:val="00C61B23"/>
    <w:rsid w:val="00C62F86"/>
    <w:rsid w:val="00C63DF3"/>
    <w:rsid w:val="00C63F6B"/>
    <w:rsid w:val="00C6404F"/>
    <w:rsid w:val="00C643A9"/>
    <w:rsid w:val="00C64452"/>
    <w:rsid w:val="00C64453"/>
    <w:rsid w:val="00C646E8"/>
    <w:rsid w:val="00C64AF5"/>
    <w:rsid w:val="00C66160"/>
    <w:rsid w:val="00C66F61"/>
    <w:rsid w:val="00C67C27"/>
    <w:rsid w:val="00C70099"/>
    <w:rsid w:val="00C704C3"/>
    <w:rsid w:val="00C71011"/>
    <w:rsid w:val="00C71617"/>
    <w:rsid w:val="00C71741"/>
    <w:rsid w:val="00C7190A"/>
    <w:rsid w:val="00C71DB4"/>
    <w:rsid w:val="00C7224F"/>
    <w:rsid w:val="00C722A9"/>
    <w:rsid w:val="00C72C46"/>
    <w:rsid w:val="00C738C6"/>
    <w:rsid w:val="00C73BFC"/>
    <w:rsid w:val="00C7446F"/>
    <w:rsid w:val="00C75291"/>
    <w:rsid w:val="00C75506"/>
    <w:rsid w:val="00C76085"/>
    <w:rsid w:val="00C7675A"/>
    <w:rsid w:val="00C76E57"/>
    <w:rsid w:val="00C77D59"/>
    <w:rsid w:val="00C801F8"/>
    <w:rsid w:val="00C80A00"/>
    <w:rsid w:val="00C80AB1"/>
    <w:rsid w:val="00C80EEB"/>
    <w:rsid w:val="00C80FB6"/>
    <w:rsid w:val="00C82977"/>
    <w:rsid w:val="00C82A18"/>
    <w:rsid w:val="00C83377"/>
    <w:rsid w:val="00C8365C"/>
    <w:rsid w:val="00C83BED"/>
    <w:rsid w:val="00C8456E"/>
    <w:rsid w:val="00C84F5A"/>
    <w:rsid w:val="00C85085"/>
    <w:rsid w:val="00C856C1"/>
    <w:rsid w:val="00C85800"/>
    <w:rsid w:val="00C86728"/>
    <w:rsid w:val="00C87713"/>
    <w:rsid w:val="00C877FF"/>
    <w:rsid w:val="00C87F04"/>
    <w:rsid w:val="00C90122"/>
    <w:rsid w:val="00C9030E"/>
    <w:rsid w:val="00C90B72"/>
    <w:rsid w:val="00C90CAA"/>
    <w:rsid w:val="00C916A5"/>
    <w:rsid w:val="00C9183B"/>
    <w:rsid w:val="00C91AAC"/>
    <w:rsid w:val="00C9338B"/>
    <w:rsid w:val="00C93C20"/>
    <w:rsid w:val="00C94275"/>
    <w:rsid w:val="00C94732"/>
    <w:rsid w:val="00C94A75"/>
    <w:rsid w:val="00C94C34"/>
    <w:rsid w:val="00C95320"/>
    <w:rsid w:val="00C95D57"/>
    <w:rsid w:val="00CA27F3"/>
    <w:rsid w:val="00CA39E8"/>
    <w:rsid w:val="00CA491A"/>
    <w:rsid w:val="00CA4F5A"/>
    <w:rsid w:val="00CA55F6"/>
    <w:rsid w:val="00CA5C63"/>
    <w:rsid w:val="00CA5F3B"/>
    <w:rsid w:val="00CA6E51"/>
    <w:rsid w:val="00CA774C"/>
    <w:rsid w:val="00CA7B74"/>
    <w:rsid w:val="00CB05F9"/>
    <w:rsid w:val="00CB0B42"/>
    <w:rsid w:val="00CB0F06"/>
    <w:rsid w:val="00CB1628"/>
    <w:rsid w:val="00CB1E10"/>
    <w:rsid w:val="00CB2712"/>
    <w:rsid w:val="00CB348E"/>
    <w:rsid w:val="00CB37B5"/>
    <w:rsid w:val="00CB470A"/>
    <w:rsid w:val="00CB47C8"/>
    <w:rsid w:val="00CB5A51"/>
    <w:rsid w:val="00CB6278"/>
    <w:rsid w:val="00CB7C53"/>
    <w:rsid w:val="00CC143A"/>
    <w:rsid w:val="00CC1441"/>
    <w:rsid w:val="00CC1B81"/>
    <w:rsid w:val="00CC1CFD"/>
    <w:rsid w:val="00CC2278"/>
    <w:rsid w:val="00CC2656"/>
    <w:rsid w:val="00CC296E"/>
    <w:rsid w:val="00CC34A7"/>
    <w:rsid w:val="00CC3570"/>
    <w:rsid w:val="00CC3868"/>
    <w:rsid w:val="00CC40BC"/>
    <w:rsid w:val="00CC53B2"/>
    <w:rsid w:val="00CC5D67"/>
    <w:rsid w:val="00CC5FE6"/>
    <w:rsid w:val="00CC6150"/>
    <w:rsid w:val="00CC6419"/>
    <w:rsid w:val="00CC666E"/>
    <w:rsid w:val="00CC6A35"/>
    <w:rsid w:val="00CC6B88"/>
    <w:rsid w:val="00CC6D73"/>
    <w:rsid w:val="00CC7013"/>
    <w:rsid w:val="00CC753A"/>
    <w:rsid w:val="00CC7C3D"/>
    <w:rsid w:val="00CD0039"/>
    <w:rsid w:val="00CD0681"/>
    <w:rsid w:val="00CD2263"/>
    <w:rsid w:val="00CD29CE"/>
    <w:rsid w:val="00CD31DD"/>
    <w:rsid w:val="00CD4078"/>
    <w:rsid w:val="00CD4951"/>
    <w:rsid w:val="00CD50A0"/>
    <w:rsid w:val="00CD5264"/>
    <w:rsid w:val="00CD5496"/>
    <w:rsid w:val="00CD584E"/>
    <w:rsid w:val="00CD5F59"/>
    <w:rsid w:val="00CD6103"/>
    <w:rsid w:val="00CD61E5"/>
    <w:rsid w:val="00CD65BC"/>
    <w:rsid w:val="00CD66EA"/>
    <w:rsid w:val="00CD67D3"/>
    <w:rsid w:val="00CD6886"/>
    <w:rsid w:val="00CD68F8"/>
    <w:rsid w:val="00CD6BCA"/>
    <w:rsid w:val="00CD6F44"/>
    <w:rsid w:val="00CD71E4"/>
    <w:rsid w:val="00CD75F2"/>
    <w:rsid w:val="00CD7B1C"/>
    <w:rsid w:val="00CE1A0C"/>
    <w:rsid w:val="00CE1F62"/>
    <w:rsid w:val="00CE25EF"/>
    <w:rsid w:val="00CE2AB1"/>
    <w:rsid w:val="00CE3339"/>
    <w:rsid w:val="00CE3BAF"/>
    <w:rsid w:val="00CE3E56"/>
    <w:rsid w:val="00CE44AE"/>
    <w:rsid w:val="00CE4543"/>
    <w:rsid w:val="00CE4A2E"/>
    <w:rsid w:val="00CE4ADD"/>
    <w:rsid w:val="00CE4B84"/>
    <w:rsid w:val="00CE5419"/>
    <w:rsid w:val="00CE54B6"/>
    <w:rsid w:val="00CE6B5A"/>
    <w:rsid w:val="00CF0246"/>
    <w:rsid w:val="00CF057C"/>
    <w:rsid w:val="00CF0818"/>
    <w:rsid w:val="00CF0FAE"/>
    <w:rsid w:val="00CF1218"/>
    <w:rsid w:val="00CF1632"/>
    <w:rsid w:val="00CF3130"/>
    <w:rsid w:val="00CF318F"/>
    <w:rsid w:val="00CF365A"/>
    <w:rsid w:val="00CF5A60"/>
    <w:rsid w:val="00CF5D83"/>
    <w:rsid w:val="00CF6B9A"/>
    <w:rsid w:val="00CF6CFF"/>
    <w:rsid w:val="00CF7347"/>
    <w:rsid w:val="00CF7930"/>
    <w:rsid w:val="00CF7D76"/>
    <w:rsid w:val="00D00287"/>
    <w:rsid w:val="00D01196"/>
    <w:rsid w:val="00D01921"/>
    <w:rsid w:val="00D021B6"/>
    <w:rsid w:val="00D02A1C"/>
    <w:rsid w:val="00D0329C"/>
    <w:rsid w:val="00D03A07"/>
    <w:rsid w:val="00D03B0B"/>
    <w:rsid w:val="00D04516"/>
    <w:rsid w:val="00D04651"/>
    <w:rsid w:val="00D04D71"/>
    <w:rsid w:val="00D05259"/>
    <w:rsid w:val="00D05C0B"/>
    <w:rsid w:val="00D05E20"/>
    <w:rsid w:val="00D05E5B"/>
    <w:rsid w:val="00D060C5"/>
    <w:rsid w:val="00D0619B"/>
    <w:rsid w:val="00D062B0"/>
    <w:rsid w:val="00D06841"/>
    <w:rsid w:val="00D068A0"/>
    <w:rsid w:val="00D06C6C"/>
    <w:rsid w:val="00D07F97"/>
    <w:rsid w:val="00D07FCE"/>
    <w:rsid w:val="00D104BF"/>
    <w:rsid w:val="00D107A3"/>
    <w:rsid w:val="00D107BC"/>
    <w:rsid w:val="00D10E51"/>
    <w:rsid w:val="00D110C0"/>
    <w:rsid w:val="00D11F18"/>
    <w:rsid w:val="00D1270A"/>
    <w:rsid w:val="00D12C5E"/>
    <w:rsid w:val="00D1329C"/>
    <w:rsid w:val="00D14AF4"/>
    <w:rsid w:val="00D1597A"/>
    <w:rsid w:val="00D15CBF"/>
    <w:rsid w:val="00D16CE3"/>
    <w:rsid w:val="00D17DD0"/>
    <w:rsid w:val="00D20151"/>
    <w:rsid w:val="00D21600"/>
    <w:rsid w:val="00D21763"/>
    <w:rsid w:val="00D2219E"/>
    <w:rsid w:val="00D22F93"/>
    <w:rsid w:val="00D23AB1"/>
    <w:rsid w:val="00D23D7E"/>
    <w:rsid w:val="00D23E12"/>
    <w:rsid w:val="00D23EDD"/>
    <w:rsid w:val="00D24069"/>
    <w:rsid w:val="00D2470A"/>
    <w:rsid w:val="00D25BB6"/>
    <w:rsid w:val="00D26378"/>
    <w:rsid w:val="00D26DEE"/>
    <w:rsid w:val="00D271FE"/>
    <w:rsid w:val="00D27B4E"/>
    <w:rsid w:val="00D301A7"/>
    <w:rsid w:val="00D30C38"/>
    <w:rsid w:val="00D3124B"/>
    <w:rsid w:val="00D32435"/>
    <w:rsid w:val="00D325DB"/>
    <w:rsid w:val="00D33309"/>
    <w:rsid w:val="00D33924"/>
    <w:rsid w:val="00D341C6"/>
    <w:rsid w:val="00D357A9"/>
    <w:rsid w:val="00D358D3"/>
    <w:rsid w:val="00D35FC9"/>
    <w:rsid w:val="00D367C7"/>
    <w:rsid w:val="00D3714D"/>
    <w:rsid w:val="00D37352"/>
    <w:rsid w:val="00D37EDD"/>
    <w:rsid w:val="00D403B2"/>
    <w:rsid w:val="00D40848"/>
    <w:rsid w:val="00D41795"/>
    <w:rsid w:val="00D41BA1"/>
    <w:rsid w:val="00D41C84"/>
    <w:rsid w:val="00D41E68"/>
    <w:rsid w:val="00D421A9"/>
    <w:rsid w:val="00D422FE"/>
    <w:rsid w:val="00D42411"/>
    <w:rsid w:val="00D429DE"/>
    <w:rsid w:val="00D42CB6"/>
    <w:rsid w:val="00D42CF0"/>
    <w:rsid w:val="00D43519"/>
    <w:rsid w:val="00D437B8"/>
    <w:rsid w:val="00D4403E"/>
    <w:rsid w:val="00D443DF"/>
    <w:rsid w:val="00D444D9"/>
    <w:rsid w:val="00D44D44"/>
    <w:rsid w:val="00D450AA"/>
    <w:rsid w:val="00D4520B"/>
    <w:rsid w:val="00D45A5A"/>
    <w:rsid w:val="00D45BE4"/>
    <w:rsid w:val="00D463E1"/>
    <w:rsid w:val="00D4650F"/>
    <w:rsid w:val="00D465EA"/>
    <w:rsid w:val="00D47A19"/>
    <w:rsid w:val="00D47B00"/>
    <w:rsid w:val="00D50213"/>
    <w:rsid w:val="00D5061C"/>
    <w:rsid w:val="00D50652"/>
    <w:rsid w:val="00D50B0C"/>
    <w:rsid w:val="00D50D5A"/>
    <w:rsid w:val="00D51254"/>
    <w:rsid w:val="00D51D7A"/>
    <w:rsid w:val="00D52302"/>
    <w:rsid w:val="00D5235A"/>
    <w:rsid w:val="00D52ABF"/>
    <w:rsid w:val="00D538DB"/>
    <w:rsid w:val="00D5428B"/>
    <w:rsid w:val="00D547C5"/>
    <w:rsid w:val="00D54FE5"/>
    <w:rsid w:val="00D554F8"/>
    <w:rsid w:val="00D55896"/>
    <w:rsid w:val="00D559B4"/>
    <w:rsid w:val="00D55CC5"/>
    <w:rsid w:val="00D55EBB"/>
    <w:rsid w:val="00D56958"/>
    <w:rsid w:val="00D57435"/>
    <w:rsid w:val="00D574D9"/>
    <w:rsid w:val="00D577A0"/>
    <w:rsid w:val="00D6056D"/>
    <w:rsid w:val="00D61268"/>
    <w:rsid w:val="00D61CBE"/>
    <w:rsid w:val="00D61CCF"/>
    <w:rsid w:val="00D61EF9"/>
    <w:rsid w:val="00D6227F"/>
    <w:rsid w:val="00D623E0"/>
    <w:rsid w:val="00D62775"/>
    <w:rsid w:val="00D62998"/>
    <w:rsid w:val="00D62DF5"/>
    <w:rsid w:val="00D632F7"/>
    <w:rsid w:val="00D63943"/>
    <w:rsid w:val="00D63FBD"/>
    <w:rsid w:val="00D651AA"/>
    <w:rsid w:val="00D654A8"/>
    <w:rsid w:val="00D6580F"/>
    <w:rsid w:val="00D664B3"/>
    <w:rsid w:val="00D67A58"/>
    <w:rsid w:val="00D70177"/>
    <w:rsid w:val="00D70BC3"/>
    <w:rsid w:val="00D70F2E"/>
    <w:rsid w:val="00D70F83"/>
    <w:rsid w:val="00D71411"/>
    <w:rsid w:val="00D71523"/>
    <w:rsid w:val="00D726CD"/>
    <w:rsid w:val="00D72D10"/>
    <w:rsid w:val="00D72E69"/>
    <w:rsid w:val="00D73734"/>
    <w:rsid w:val="00D73BE4"/>
    <w:rsid w:val="00D74438"/>
    <w:rsid w:val="00D74EDB"/>
    <w:rsid w:val="00D756DD"/>
    <w:rsid w:val="00D75796"/>
    <w:rsid w:val="00D75E6D"/>
    <w:rsid w:val="00D77098"/>
    <w:rsid w:val="00D77D40"/>
    <w:rsid w:val="00D77DAD"/>
    <w:rsid w:val="00D800CF"/>
    <w:rsid w:val="00D80401"/>
    <w:rsid w:val="00D80DC2"/>
    <w:rsid w:val="00D825D5"/>
    <w:rsid w:val="00D82621"/>
    <w:rsid w:val="00D826FF"/>
    <w:rsid w:val="00D830F6"/>
    <w:rsid w:val="00D831B6"/>
    <w:rsid w:val="00D8391B"/>
    <w:rsid w:val="00D83A68"/>
    <w:rsid w:val="00D83D26"/>
    <w:rsid w:val="00D843E9"/>
    <w:rsid w:val="00D843EA"/>
    <w:rsid w:val="00D847A0"/>
    <w:rsid w:val="00D84DCB"/>
    <w:rsid w:val="00D84F44"/>
    <w:rsid w:val="00D852B4"/>
    <w:rsid w:val="00D86E47"/>
    <w:rsid w:val="00D872C9"/>
    <w:rsid w:val="00D9024A"/>
    <w:rsid w:val="00D91825"/>
    <w:rsid w:val="00D91CF2"/>
    <w:rsid w:val="00D9227F"/>
    <w:rsid w:val="00D92A87"/>
    <w:rsid w:val="00D92C19"/>
    <w:rsid w:val="00D93059"/>
    <w:rsid w:val="00D94992"/>
    <w:rsid w:val="00D94ADF"/>
    <w:rsid w:val="00D94C22"/>
    <w:rsid w:val="00D95A90"/>
    <w:rsid w:val="00D96644"/>
    <w:rsid w:val="00D96D4D"/>
    <w:rsid w:val="00D97225"/>
    <w:rsid w:val="00DA05C9"/>
    <w:rsid w:val="00DA065F"/>
    <w:rsid w:val="00DA089C"/>
    <w:rsid w:val="00DA0C6A"/>
    <w:rsid w:val="00DA136D"/>
    <w:rsid w:val="00DA1B10"/>
    <w:rsid w:val="00DA218F"/>
    <w:rsid w:val="00DA335D"/>
    <w:rsid w:val="00DA3E35"/>
    <w:rsid w:val="00DA4076"/>
    <w:rsid w:val="00DA47C8"/>
    <w:rsid w:val="00DA4A14"/>
    <w:rsid w:val="00DA6501"/>
    <w:rsid w:val="00DA6822"/>
    <w:rsid w:val="00DA7298"/>
    <w:rsid w:val="00DA7A89"/>
    <w:rsid w:val="00DA7F50"/>
    <w:rsid w:val="00DB062C"/>
    <w:rsid w:val="00DB06FA"/>
    <w:rsid w:val="00DB0B9E"/>
    <w:rsid w:val="00DB1176"/>
    <w:rsid w:val="00DB13E8"/>
    <w:rsid w:val="00DB1487"/>
    <w:rsid w:val="00DB1824"/>
    <w:rsid w:val="00DB1F26"/>
    <w:rsid w:val="00DB2137"/>
    <w:rsid w:val="00DB23CC"/>
    <w:rsid w:val="00DB29B4"/>
    <w:rsid w:val="00DB3128"/>
    <w:rsid w:val="00DB4004"/>
    <w:rsid w:val="00DB4063"/>
    <w:rsid w:val="00DB4265"/>
    <w:rsid w:val="00DB4741"/>
    <w:rsid w:val="00DB48AC"/>
    <w:rsid w:val="00DB4AF0"/>
    <w:rsid w:val="00DB508F"/>
    <w:rsid w:val="00DB5B3C"/>
    <w:rsid w:val="00DB5B5B"/>
    <w:rsid w:val="00DB5D5A"/>
    <w:rsid w:val="00DB6CE8"/>
    <w:rsid w:val="00DB75A7"/>
    <w:rsid w:val="00DB7D2E"/>
    <w:rsid w:val="00DB7F39"/>
    <w:rsid w:val="00DC0C5B"/>
    <w:rsid w:val="00DC123B"/>
    <w:rsid w:val="00DC176B"/>
    <w:rsid w:val="00DC17D5"/>
    <w:rsid w:val="00DC2ABD"/>
    <w:rsid w:val="00DC37C6"/>
    <w:rsid w:val="00DC383A"/>
    <w:rsid w:val="00DC3A22"/>
    <w:rsid w:val="00DC3EEC"/>
    <w:rsid w:val="00DC3FA8"/>
    <w:rsid w:val="00DC4529"/>
    <w:rsid w:val="00DC4738"/>
    <w:rsid w:val="00DC4B17"/>
    <w:rsid w:val="00DC50C9"/>
    <w:rsid w:val="00DC56E0"/>
    <w:rsid w:val="00DC5A71"/>
    <w:rsid w:val="00DC5F1B"/>
    <w:rsid w:val="00DC64E8"/>
    <w:rsid w:val="00DC6E14"/>
    <w:rsid w:val="00DC7314"/>
    <w:rsid w:val="00DC776D"/>
    <w:rsid w:val="00DC77A6"/>
    <w:rsid w:val="00DD0A11"/>
    <w:rsid w:val="00DD10B4"/>
    <w:rsid w:val="00DD14D9"/>
    <w:rsid w:val="00DD1A27"/>
    <w:rsid w:val="00DD1A74"/>
    <w:rsid w:val="00DD1E72"/>
    <w:rsid w:val="00DD1F73"/>
    <w:rsid w:val="00DD22C5"/>
    <w:rsid w:val="00DD27B4"/>
    <w:rsid w:val="00DD405D"/>
    <w:rsid w:val="00DD40A3"/>
    <w:rsid w:val="00DD5744"/>
    <w:rsid w:val="00DD599F"/>
    <w:rsid w:val="00DD6369"/>
    <w:rsid w:val="00DD7144"/>
    <w:rsid w:val="00DE06CF"/>
    <w:rsid w:val="00DE117C"/>
    <w:rsid w:val="00DE1641"/>
    <w:rsid w:val="00DE17E4"/>
    <w:rsid w:val="00DE1BAD"/>
    <w:rsid w:val="00DE34E9"/>
    <w:rsid w:val="00DE3FF6"/>
    <w:rsid w:val="00DE4682"/>
    <w:rsid w:val="00DE5494"/>
    <w:rsid w:val="00DE5B7F"/>
    <w:rsid w:val="00DE5DAA"/>
    <w:rsid w:val="00DE5FF0"/>
    <w:rsid w:val="00DE6149"/>
    <w:rsid w:val="00DE6164"/>
    <w:rsid w:val="00DE6857"/>
    <w:rsid w:val="00DE782E"/>
    <w:rsid w:val="00DF04CB"/>
    <w:rsid w:val="00DF0D94"/>
    <w:rsid w:val="00DF0E6F"/>
    <w:rsid w:val="00DF0EFC"/>
    <w:rsid w:val="00DF0FBC"/>
    <w:rsid w:val="00DF121C"/>
    <w:rsid w:val="00DF160D"/>
    <w:rsid w:val="00DF1648"/>
    <w:rsid w:val="00DF1921"/>
    <w:rsid w:val="00DF2053"/>
    <w:rsid w:val="00DF2641"/>
    <w:rsid w:val="00DF284A"/>
    <w:rsid w:val="00DF3C47"/>
    <w:rsid w:val="00DF40FC"/>
    <w:rsid w:val="00DF41FA"/>
    <w:rsid w:val="00DF496B"/>
    <w:rsid w:val="00DF4BDF"/>
    <w:rsid w:val="00DF5E60"/>
    <w:rsid w:val="00DF61D8"/>
    <w:rsid w:val="00DF62DB"/>
    <w:rsid w:val="00E014DC"/>
    <w:rsid w:val="00E01B04"/>
    <w:rsid w:val="00E03FBB"/>
    <w:rsid w:val="00E041D3"/>
    <w:rsid w:val="00E046FE"/>
    <w:rsid w:val="00E04A54"/>
    <w:rsid w:val="00E06897"/>
    <w:rsid w:val="00E07166"/>
    <w:rsid w:val="00E10755"/>
    <w:rsid w:val="00E10E7F"/>
    <w:rsid w:val="00E11180"/>
    <w:rsid w:val="00E11EA8"/>
    <w:rsid w:val="00E1233F"/>
    <w:rsid w:val="00E12369"/>
    <w:rsid w:val="00E13849"/>
    <w:rsid w:val="00E13D4A"/>
    <w:rsid w:val="00E14BC4"/>
    <w:rsid w:val="00E14D60"/>
    <w:rsid w:val="00E159E2"/>
    <w:rsid w:val="00E15D91"/>
    <w:rsid w:val="00E1603F"/>
    <w:rsid w:val="00E163B2"/>
    <w:rsid w:val="00E1699E"/>
    <w:rsid w:val="00E16D0A"/>
    <w:rsid w:val="00E170BB"/>
    <w:rsid w:val="00E17510"/>
    <w:rsid w:val="00E17A3F"/>
    <w:rsid w:val="00E17A4D"/>
    <w:rsid w:val="00E17F2B"/>
    <w:rsid w:val="00E207E7"/>
    <w:rsid w:val="00E20836"/>
    <w:rsid w:val="00E208A4"/>
    <w:rsid w:val="00E2092E"/>
    <w:rsid w:val="00E209F3"/>
    <w:rsid w:val="00E21051"/>
    <w:rsid w:val="00E21191"/>
    <w:rsid w:val="00E21ABE"/>
    <w:rsid w:val="00E232A8"/>
    <w:rsid w:val="00E23583"/>
    <w:rsid w:val="00E24D9B"/>
    <w:rsid w:val="00E25070"/>
    <w:rsid w:val="00E25A89"/>
    <w:rsid w:val="00E25B26"/>
    <w:rsid w:val="00E27199"/>
    <w:rsid w:val="00E27615"/>
    <w:rsid w:val="00E27E0B"/>
    <w:rsid w:val="00E27FA3"/>
    <w:rsid w:val="00E309EA"/>
    <w:rsid w:val="00E30E5E"/>
    <w:rsid w:val="00E3129D"/>
    <w:rsid w:val="00E31E41"/>
    <w:rsid w:val="00E32D8A"/>
    <w:rsid w:val="00E32E26"/>
    <w:rsid w:val="00E337A2"/>
    <w:rsid w:val="00E33A62"/>
    <w:rsid w:val="00E33F03"/>
    <w:rsid w:val="00E340D4"/>
    <w:rsid w:val="00E34600"/>
    <w:rsid w:val="00E3486A"/>
    <w:rsid w:val="00E351B8"/>
    <w:rsid w:val="00E35653"/>
    <w:rsid w:val="00E366A8"/>
    <w:rsid w:val="00E36928"/>
    <w:rsid w:val="00E36D7A"/>
    <w:rsid w:val="00E370B1"/>
    <w:rsid w:val="00E37313"/>
    <w:rsid w:val="00E376FA"/>
    <w:rsid w:val="00E40525"/>
    <w:rsid w:val="00E40B9E"/>
    <w:rsid w:val="00E40EF6"/>
    <w:rsid w:val="00E411B4"/>
    <w:rsid w:val="00E424A4"/>
    <w:rsid w:val="00E428F1"/>
    <w:rsid w:val="00E42954"/>
    <w:rsid w:val="00E43DF8"/>
    <w:rsid w:val="00E44D5F"/>
    <w:rsid w:val="00E4533E"/>
    <w:rsid w:val="00E45B48"/>
    <w:rsid w:val="00E45BE9"/>
    <w:rsid w:val="00E460D1"/>
    <w:rsid w:val="00E46140"/>
    <w:rsid w:val="00E46289"/>
    <w:rsid w:val="00E4637D"/>
    <w:rsid w:val="00E466DF"/>
    <w:rsid w:val="00E46B2B"/>
    <w:rsid w:val="00E47231"/>
    <w:rsid w:val="00E47713"/>
    <w:rsid w:val="00E50775"/>
    <w:rsid w:val="00E50AD4"/>
    <w:rsid w:val="00E5171A"/>
    <w:rsid w:val="00E52F84"/>
    <w:rsid w:val="00E531DE"/>
    <w:rsid w:val="00E54059"/>
    <w:rsid w:val="00E54375"/>
    <w:rsid w:val="00E54991"/>
    <w:rsid w:val="00E54CD3"/>
    <w:rsid w:val="00E54FFB"/>
    <w:rsid w:val="00E55160"/>
    <w:rsid w:val="00E55919"/>
    <w:rsid w:val="00E562B8"/>
    <w:rsid w:val="00E567CC"/>
    <w:rsid w:val="00E577D1"/>
    <w:rsid w:val="00E60595"/>
    <w:rsid w:val="00E605BA"/>
    <w:rsid w:val="00E607B9"/>
    <w:rsid w:val="00E60ACF"/>
    <w:rsid w:val="00E60D77"/>
    <w:rsid w:val="00E60F5E"/>
    <w:rsid w:val="00E61E4C"/>
    <w:rsid w:val="00E62A4F"/>
    <w:rsid w:val="00E62E5F"/>
    <w:rsid w:val="00E62F82"/>
    <w:rsid w:val="00E6359C"/>
    <w:rsid w:val="00E6497F"/>
    <w:rsid w:val="00E64DC3"/>
    <w:rsid w:val="00E64DE5"/>
    <w:rsid w:val="00E65ACC"/>
    <w:rsid w:val="00E65BB5"/>
    <w:rsid w:val="00E65D96"/>
    <w:rsid w:val="00E65ED4"/>
    <w:rsid w:val="00E66003"/>
    <w:rsid w:val="00E665C4"/>
    <w:rsid w:val="00E66EDA"/>
    <w:rsid w:val="00E672F4"/>
    <w:rsid w:val="00E67C54"/>
    <w:rsid w:val="00E67C77"/>
    <w:rsid w:val="00E70BFD"/>
    <w:rsid w:val="00E7171E"/>
    <w:rsid w:val="00E717A1"/>
    <w:rsid w:val="00E718EF"/>
    <w:rsid w:val="00E71933"/>
    <w:rsid w:val="00E7238A"/>
    <w:rsid w:val="00E728E1"/>
    <w:rsid w:val="00E7385E"/>
    <w:rsid w:val="00E741EA"/>
    <w:rsid w:val="00E744A1"/>
    <w:rsid w:val="00E74B5D"/>
    <w:rsid w:val="00E74F0A"/>
    <w:rsid w:val="00E75D5E"/>
    <w:rsid w:val="00E765DF"/>
    <w:rsid w:val="00E76CFE"/>
    <w:rsid w:val="00E802C2"/>
    <w:rsid w:val="00E80BF4"/>
    <w:rsid w:val="00E80CC6"/>
    <w:rsid w:val="00E80FDB"/>
    <w:rsid w:val="00E815D5"/>
    <w:rsid w:val="00E820E3"/>
    <w:rsid w:val="00E82741"/>
    <w:rsid w:val="00E82E5A"/>
    <w:rsid w:val="00E83CD7"/>
    <w:rsid w:val="00E842D9"/>
    <w:rsid w:val="00E8438E"/>
    <w:rsid w:val="00E85C97"/>
    <w:rsid w:val="00E86DDD"/>
    <w:rsid w:val="00E874E7"/>
    <w:rsid w:val="00E876B1"/>
    <w:rsid w:val="00E87A0E"/>
    <w:rsid w:val="00E90060"/>
    <w:rsid w:val="00E902FA"/>
    <w:rsid w:val="00E903BB"/>
    <w:rsid w:val="00E90D95"/>
    <w:rsid w:val="00E90F03"/>
    <w:rsid w:val="00E91696"/>
    <w:rsid w:val="00E919FC"/>
    <w:rsid w:val="00E91EEB"/>
    <w:rsid w:val="00E92294"/>
    <w:rsid w:val="00E934B7"/>
    <w:rsid w:val="00E93901"/>
    <w:rsid w:val="00E93EEE"/>
    <w:rsid w:val="00E9466E"/>
    <w:rsid w:val="00E94804"/>
    <w:rsid w:val="00E94C9E"/>
    <w:rsid w:val="00E962EE"/>
    <w:rsid w:val="00E96642"/>
    <w:rsid w:val="00E97488"/>
    <w:rsid w:val="00E97C41"/>
    <w:rsid w:val="00EA0643"/>
    <w:rsid w:val="00EA0979"/>
    <w:rsid w:val="00EA0E66"/>
    <w:rsid w:val="00EA11CC"/>
    <w:rsid w:val="00EA1828"/>
    <w:rsid w:val="00EA18FB"/>
    <w:rsid w:val="00EA23E8"/>
    <w:rsid w:val="00EA299B"/>
    <w:rsid w:val="00EA3B53"/>
    <w:rsid w:val="00EA3F31"/>
    <w:rsid w:val="00EA54A5"/>
    <w:rsid w:val="00EA574A"/>
    <w:rsid w:val="00EA69D6"/>
    <w:rsid w:val="00EA7348"/>
    <w:rsid w:val="00EA7968"/>
    <w:rsid w:val="00EA7C56"/>
    <w:rsid w:val="00EA7E5A"/>
    <w:rsid w:val="00EB1325"/>
    <w:rsid w:val="00EB1853"/>
    <w:rsid w:val="00EB1FD0"/>
    <w:rsid w:val="00EB2385"/>
    <w:rsid w:val="00EB3BC9"/>
    <w:rsid w:val="00EB4252"/>
    <w:rsid w:val="00EB4B05"/>
    <w:rsid w:val="00EB4CE3"/>
    <w:rsid w:val="00EB4E4E"/>
    <w:rsid w:val="00EB775C"/>
    <w:rsid w:val="00EB7D26"/>
    <w:rsid w:val="00EC0C1D"/>
    <w:rsid w:val="00EC0FF5"/>
    <w:rsid w:val="00EC1445"/>
    <w:rsid w:val="00EC1B3F"/>
    <w:rsid w:val="00EC2506"/>
    <w:rsid w:val="00EC3736"/>
    <w:rsid w:val="00EC37D8"/>
    <w:rsid w:val="00EC3B28"/>
    <w:rsid w:val="00EC4360"/>
    <w:rsid w:val="00EC5F81"/>
    <w:rsid w:val="00EC6986"/>
    <w:rsid w:val="00EC7469"/>
    <w:rsid w:val="00EC751C"/>
    <w:rsid w:val="00EC7F24"/>
    <w:rsid w:val="00ED0F31"/>
    <w:rsid w:val="00ED12E2"/>
    <w:rsid w:val="00ED142A"/>
    <w:rsid w:val="00ED1B99"/>
    <w:rsid w:val="00ED2071"/>
    <w:rsid w:val="00ED2434"/>
    <w:rsid w:val="00ED34A4"/>
    <w:rsid w:val="00ED3A91"/>
    <w:rsid w:val="00ED3C61"/>
    <w:rsid w:val="00ED403F"/>
    <w:rsid w:val="00ED454D"/>
    <w:rsid w:val="00ED4687"/>
    <w:rsid w:val="00ED47B3"/>
    <w:rsid w:val="00ED4C2D"/>
    <w:rsid w:val="00ED50C8"/>
    <w:rsid w:val="00ED5137"/>
    <w:rsid w:val="00ED51BE"/>
    <w:rsid w:val="00ED5257"/>
    <w:rsid w:val="00ED59EB"/>
    <w:rsid w:val="00ED664D"/>
    <w:rsid w:val="00ED6E94"/>
    <w:rsid w:val="00ED73A1"/>
    <w:rsid w:val="00EE06C4"/>
    <w:rsid w:val="00EE0B75"/>
    <w:rsid w:val="00EE0BD4"/>
    <w:rsid w:val="00EE0E7D"/>
    <w:rsid w:val="00EE17C3"/>
    <w:rsid w:val="00EE1BB2"/>
    <w:rsid w:val="00EE1FB2"/>
    <w:rsid w:val="00EE2789"/>
    <w:rsid w:val="00EE56F3"/>
    <w:rsid w:val="00EE5872"/>
    <w:rsid w:val="00EE6088"/>
    <w:rsid w:val="00EE6A79"/>
    <w:rsid w:val="00EE6FEA"/>
    <w:rsid w:val="00EE7ACF"/>
    <w:rsid w:val="00EE7D5F"/>
    <w:rsid w:val="00EF010C"/>
    <w:rsid w:val="00EF0B9E"/>
    <w:rsid w:val="00EF1518"/>
    <w:rsid w:val="00EF15C3"/>
    <w:rsid w:val="00EF16B0"/>
    <w:rsid w:val="00EF1B83"/>
    <w:rsid w:val="00EF2132"/>
    <w:rsid w:val="00EF2932"/>
    <w:rsid w:val="00EF3164"/>
    <w:rsid w:val="00EF3688"/>
    <w:rsid w:val="00EF36B7"/>
    <w:rsid w:val="00EF3810"/>
    <w:rsid w:val="00EF3BF5"/>
    <w:rsid w:val="00EF4923"/>
    <w:rsid w:val="00EF4B79"/>
    <w:rsid w:val="00EF5089"/>
    <w:rsid w:val="00EF50EA"/>
    <w:rsid w:val="00EF5A3F"/>
    <w:rsid w:val="00EF5A7D"/>
    <w:rsid w:val="00EF6381"/>
    <w:rsid w:val="00EF69D1"/>
    <w:rsid w:val="00EF6B81"/>
    <w:rsid w:val="00EF6FE6"/>
    <w:rsid w:val="00F008BE"/>
    <w:rsid w:val="00F00FC5"/>
    <w:rsid w:val="00F014A9"/>
    <w:rsid w:val="00F0162C"/>
    <w:rsid w:val="00F016F8"/>
    <w:rsid w:val="00F01775"/>
    <w:rsid w:val="00F01B6D"/>
    <w:rsid w:val="00F02A83"/>
    <w:rsid w:val="00F02E74"/>
    <w:rsid w:val="00F032E5"/>
    <w:rsid w:val="00F03B60"/>
    <w:rsid w:val="00F03F08"/>
    <w:rsid w:val="00F0409F"/>
    <w:rsid w:val="00F049E8"/>
    <w:rsid w:val="00F051B5"/>
    <w:rsid w:val="00F05623"/>
    <w:rsid w:val="00F0616B"/>
    <w:rsid w:val="00F07372"/>
    <w:rsid w:val="00F1018C"/>
    <w:rsid w:val="00F102BE"/>
    <w:rsid w:val="00F10718"/>
    <w:rsid w:val="00F10EB9"/>
    <w:rsid w:val="00F1177E"/>
    <w:rsid w:val="00F11EB2"/>
    <w:rsid w:val="00F12120"/>
    <w:rsid w:val="00F12356"/>
    <w:rsid w:val="00F123B3"/>
    <w:rsid w:val="00F1293C"/>
    <w:rsid w:val="00F12A66"/>
    <w:rsid w:val="00F1399C"/>
    <w:rsid w:val="00F13CC5"/>
    <w:rsid w:val="00F14EDE"/>
    <w:rsid w:val="00F16436"/>
    <w:rsid w:val="00F169ED"/>
    <w:rsid w:val="00F16A83"/>
    <w:rsid w:val="00F17168"/>
    <w:rsid w:val="00F1743A"/>
    <w:rsid w:val="00F2089B"/>
    <w:rsid w:val="00F20B03"/>
    <w:rsid w:val="00F21264"/>
    <w:rsid w:val="00F2151A"/>
    <w:rsid w:val="00F216F1"/>
    <w:rsid w:val="00F2244D"/>
    <w:rsid w:val="00F22821"/>
    <w:rsid w:val="00F2308C"/>
    <w:rsid w:val="00F23826"/>
    <w:rsid w:val="00F23EE4"/>
    <w:rsid w:val="00F24AD6"/>
    <w:rsid w:val="00F2536A"/>
    <w:rsid w:val="00F25816"/>
    <w:rsid w:val="00F25B4D"/>
    <w:rsid w:val="00F25E64"/>
    <w:rsid w:val="00F25F33"/>
    <w:rsid w:val="00F2679B"/>
    <w:rsid w:val="00F273A2"/>
    <w:rsid w:val="00F27702"/>
    <w:rsid w:val="00F3034B"/>
    <w:rsid w:val="00F31CF6"/>
    <w:rsid w:val="00F3201B"/>
    <w:rsid w:val="00F3270A"/>
    <w:rsid w:val="00F32EEF"/>
    <w:rsid w:val="00F33169"/>
    <w:rsid w:val="00F33315"/>
    <w:rsid w:val="00F3345C"/>
    <w:rsid w:val="00F33660"/>
    <w:rsid w:val="00F33D15"/>
    <w:rsid w:val="00F348B7"/>
    <w:rsid w:val="00F352F1"/>
    <w:rsid w:val="00F3633E"/>
    <w:rsid w:val="00F36451"/>
    <w:rsid w:val="00F36989"/>
    <w:rsid w:val="00F36CAE"/>
    <w:rsid w:val="00F374A1"/>
    <w:rsid w:val="00F40E61"/>
    <w:rsid w:val="00F413B3"/>
    <w:rsid w:val="00F41C9B"/>
    <w:rsid w:val="00F41FB9"/>
    <w:rsid w:val="00F41FFD"/>
    <w:rsid w:val="00F426CF"/>
    <w:rsid w:val="00F42FEF"/>
    <w:rsid w:val="00F435C1"/>
    <w:rsid w:val="00F4383B"/>
    <w:rsid w:val="00F43E75"/>
    <w:rsid w:val="00F447E9"/>
    <w:rsid w:val="00F4481A"/>
    <w:rsid w:val="00F44E88"/>
    <w:rsid w:val="00F45393"/>
    <w:rsid w:val="00F456AE"/>
    <w:rsid w:val="00F45FF8"/>
    <w:rsid w:val="00F467C7"/>
    <w:rsid w:val="00F469FE"/>
    <w:rsid w:val="00F471B0"/>
    <w:rsid w:val="00F475F1"/>
    <w:rsid w:val="00F50165"/>
    <w:rsid w:val="00F50AFD"/>
    <w:rsid w:val="00F50C77"/>
    <w:rsid w:val="00F50FBF"/>
    <w:rsid w:val="00F50FC6"/>
    <w:rsid w:val="00F51CFA"/>
    <w:rsid w:val="00F5256C"/>
    <w:rsid w:val="00F52B27"/>
    <w:rsid w:val="00F535F5"/>
    <w:rsid w:val="00F537BA"/>
    <w:rsid w:val="00F53831"/>
    <w:rsid w:val="00F5384A"/>
    <w:rsid w:val="00F53BC7"/>
    <w:rsid w:val="00F545F4"/>
    <w:rsid w:val="00F55D61"/>
    <w:rsid w:val="00F56630"/>
    <w:rsid w:val="00F56AE8"/>
    <w:rsid w:val="00F56CF4"/>
    <w:rsid w:val="00F571DC"/>
    <w:rsid w:val="00F60D2F"/>
    <w:rsid w:val="00F6180A"/>
    <w:rsid w:val="00F62151"/>
    <w:rsid w:val="00F622E0"/>
    <w:rsid w:val="00F62FEE"/>
    <w:rsid w:val="00F649E6"/>
    <w:rsid w:val="00F64EF2"/>
    <w:rsid w:val="00F67029"/>
    <w:rsid w:val="00F67E81"/>
    <w:rsid w:val="00F709BE"/>
    <w:rsid w:val="00F714AE"/>
    <w:rsid w:val="00F7151C"/>
    <w:rsid w:val="00F71530"/>
    <w:rsid w:val="00F71956"/>
    <w:rsid w:val="00F72B74"/>
    <w:rsid w:val="00F730F0"/>
    <w:rsid w:val="00F733D7"/>
    <w:rsid w:val="00F7411E"/>
    <w:rsid w:val="00F7471E"/>
    <w:rsid w:val="00F748C9"/>
    <w:rsid w:val="00F74A44"/>
    <w:rsid w:val="00F74A5F"/>
    <w:rsid w:val="00F76825"/>
    <w:rsid w:val="00F76B37"/>
    <w:rsid w:val="00F77B89"/>
    <w:rsid w:val="00F77FEB"/>
    <w:rsid w:val="00F80001"/>
    <w:rsid w:val="00F804C1"/>
    <w:rsid w:val="00F80D23"/>
    <w:rsid w:val="00F81184"/>
    <w:rsid w:val="00F81300"/>
    <w:rsid w:val="00F8269D"/>
    <w:rsid w:val="00F832B9"/>
    <w:rsid w:val="00F83667"/>
    <w:rsid w:val="00F838B1"/>
    <w:rsid w:val="00F83E74"/>
    <w:rsid w:val="00F83F2D"/>
    <w:rsid w:val="00F84233"/>
    <w:rsid w:val="00F84726"/>
    <w:rsid w:val="00F8496D"/>
    <w:rsid w:val="00F84979"/>
    <w:rsid w:val="00F84E50"/>
    <w:rsid w:val="00F85078"/>
    <w:rsid w:val="00F858E4"/>
    <w:rsid w:val="00F85CCE"/>
    <w:rsid w:val="00F85D84"/>
    <w:rsid w:val="00F86CE9"/>
    <w:rsid w:val="00F86F55"/>
    <w:rsid w:val="00F87154"/>
    <w:rsid w:val="00F91372"/>
    <w:rsid w:val="00F92D3D"/>
    <w:rsid w:val="00F936E0"/>
    <w:rsid w:val="00F93723"/>
    <w:rsid w:val="00F93AF9"/>
    <w:rsid w:val="00F93ECC"/>
    <w:rsid w:val="00F954B7"/>
    <w:rsid w:val="00F954ED"/>
    <w:rsid w:val="00F95A68"/>
    <w:rsid w:val="00F963F9"/>
    <w:rsid w:val="00F9673D"/>
    <w:rsid w:val="00F967E4"/>
    <w:rsid w:val="00F97181"/>
    <w:rsid w:val="00F97454"/>
    <w:rsid w:val="00F97545"/>
    <w:rsid w:val="00FA04AF"/>
    <w:rsid w:val="00FA061A"/>
    <w:rsid w:val="00FA0716"/>
    <w:rsid w:val="00FA0E5D"/>
    <w:rsid w:val="00FA0E9E"/>
    <w:rsid w:val="00FA116A"/>
    <w:rsid w:val="00FA1922"/>
    <w:rsid w:val="00FA1AE4"/>
    <w:rsid w:val="00FA1D88"/>
    <w:rsid w:val="00FA1F6D"/>
    <w:rsid w:val="00FA2137"/>
    <w:rsid w:val="00FA2363"/>
    <w:rsid w:val="00FA3419"/>
    <w:rsid w:val="00FA35C9"/>
    <w:rsid w:val="00FA3AE5"/>
    <w:rsid w:val="00FA4820"/>
    <w:rsid w:val="00FA4F99"/>
    <w:rsid w:val="00FA51E4"/>
    <w:rsid w:val="00FA5321"/>
    <w:rsid w:val="00FA58B3"/>
    <w:rsid w:val="00FA7270"/>
    <w:rsid w:val="00FA72F7"/>
    <w:rsid w:val="00FA77DF"/>
    <w:rsid w:val="00FA7B10"/>
    <w:rsid w:val="00FA7D5A"/>
    <w:rsid w:val="00FA7DA7"/>
    <w:rsid w:val="00FB04D5"/>
    <w:rsid w:val="00FB052F"/>
    <w:rsid w:val="00FB09F5"/>
    <w:rsid w:val="00FB0ED0"/>
    <w:rsid w:val="00FB0FFF"/>
    <w:rsid w:val="00FB1017"/>
    <w:rsid w:val="00FB12C3"/>
    <w:rsid w:val="00FB1988"/>
    <w:rsid w:val="00FB2F58"/>
    <w:rsid w:val="00FB304F"/>
    <w:rsid w:val="00FB31F7"/>
    <w:rsid w:val="00FB36E2"/>
    <w:rsid w:val="00FB3729"/>
    <w:rsid w:val="00FB3A3F"/>
    <w:rsid w:val="00FB42F2"/>
    <w:rsid w:val="00FB45B3"/>
    <w:rsid w:val="00FB4A3C"/>
    <w:rsid w:val="00FB506B"/>
    <w:rsid w:val="00FB5438"/>
    <w:rsid w:val="00FB6278"/>
    <w:rsid w:val="00FB67A6"/>
    <w:rsid w:val="00FB6B97"/>
    <w:rsid w:val="00FB6BEB"/>
    <w:rsid w:val="00FB7688"/>
    <w:rsid w:val="00FC04CA"/>
    <w:rsid w:val="00FC0944"/>
    <w:rsid w:val="00FC161B"/>
    <w:rsid w:val="00FC210C"/>
    <w:rsid w:val="00FC3976"/>
    <w:rsid w:val="00FC5EB0"/>
    <w:rsid w:val="00FC5F36"/>
    <w:rsid w:val="00FC63ED"/>
    <w:rsid w:val="00FC6A86"/>
    <w:rsid w:val="00FD080A"/>
    <w:rsid w:val="00FD0868"/>
    <w:rsid w:val="00FD0887"/>
    <w:rsid w:val="00FD1EE4"/>
    <w:rsid w:val="00FD1EFB"/>
    <w:rsid w:val="00FD495E"/>
    <w:rsid w:val="00FD4FB0"/>
    <w:rsid w:val="00FD53CD"/>
    <w:rsid w:val="00FD64C8"/>
    <w:rsid w:val="00FD6532"/>
    <w:rsid w:val="00FD68FD"/>
    <w:rsid w:val="00FD71B7"/>
    <w:rsid w:val="00FD7658"/>
    <w:rsid w:val="00FE02E7"/>
    <w:rsid w:val="00FE039D"/>
    <w:rsid w:val="00FE0458"/>
    <w:rsid w:val="00FE0772"/>
    <w:rsid w:val="00FE0CC6"/>
    <w:rsid w:val="00FE10B3"/>
    <w:rsid w:val="00FE1273"/>
    <w:rsid w:val="00FE31FF"/>
    <w:rsid w:val="00FE3EBB"/>
    <w:rsid w:val="00FE456A"/>
    <w:rsid w:val="00FE54E4"/>
    <w:rsid w:val="00FE59B8"/>
    <w:rsid w:val="00FE655A"/>
    <w:rsid w:val="00FE65B1"/>
    <w:rsid w:val="00FE65B4"/>
    <w:rsid w:val="00FE681D"/>
    <w:rsid w:val="00FE6D5E"/>
    <w:rsid w:val="00FE72F6"/>
    <w:rsid w:val="00FE7DBB"/>
    <w:rsid w:val="00FF0377"/>
    <w:rsid w:val="00FF0458"/>
    <w:rsid w:val="00FF05B1"/>
    <w:rsid w:val="00FF0CA0"/>
    <w:rsid w:val="00FF140C"/>
    <w:rsid w:val="00FF1A55"/>
    <w:rsid w:val="00FF2CD2"/>
    <w:rsid w:val="00FF42B9"/>
    <w:rsid w:val="00FF4671"/>
    <w:rsid w:val="00FF47C2"/>
    <w:rsid w:val="00FF4B56"/>
    <w:rsid w:val="00FF58FB"/>
    <w:rsid w:val="00FF6618"/>
    <w:rsid w:val="00FF6787"/>
    <w:rsid w:val="00FF6C79"/>
    <w:rsid w:val="00FF7006"/>
    <w:rsid w:val="00FF706A"/>
    <w:rsid w:val="00FF74AC"/>
    <w:rsid w:val="011A7F92"/>
    <w:rsid w:val="01BD17FD"/>
    <w:rsid w:val="020E6ED4"/>
    <w:rsid w:val="031D6690"/>
    <w:rsid w:val="034254F6"/>
    <w:rsid w:val="03B863D4"/>
    <w:rsid w:val="04A16867"/>
    <w:rsid w:val="04E42AEC"/>
    <w:rsid w:val="04EB73F5"/>
    <w:rsid w:val="059325EB"/>
    <w:rsid w:val="05B15A37"/>
    <w:rsid w:val="062D0E41"/>
    <w:rsid w:val="066F3E93"/>
    <w:rsid w:val="06783AA7"/>
    <w:rsid w:val="06902037"/>
    <w:rsid w:val="06964096"/>
    <w:rsid w:val="07864A5E"/>
    <w:rsid w:val="083B7301"/>
    <w:rsid w:val="0A5F3566"/>
    <w:rsid w:val="0A63245A"/>
    <w:rsid w:val="0A6D5F02"/>
    <w:rsid w:val="0B247F12"/>
    <w:rsid w:val="0B3E4CCB"/>
    <w:rsid w:val="0BF14E7A"/>
    <w:rsid w:val="0C3D62EE"/>
    <w:rsid w:val="0D301FDA"/>
    <w:rsid w:val="0D4D1181"/>
    <w:rsid w:val="0D7E7E47"/>
    <w:rsid w:val="0D982D8F"/>
    <w:rsid w:val="0DAE06BD"/>
    <w:rsid w:val="0ED40CCB"/>
    <w:rsid w:val="102646AA"/>
    <w:rsid w:val="104E5D16"/>
    <w:rsid w:val="10B95161"/>
    <w:rsid w:val="110C5584"/>
    <w:rsid w:val="11520679"/>
    <w:rsid w:val="121E1DD3"/>
    <w:rsid w:val="12273180"/>
    <w:rsid w:val="124F7CA8"/>
    <w:rsid w:val="127C6560"/>
    <w:rsid w:val="13173E6D"/>
    <w:rsid w:val="134546CA"/>
    <w:rsid w:val="137761ED"/>
    <w:rsid w:val="146E32AA"/>
    <w:rsid w:val="148B12E6"/>
    <w:rsid w:val="149E72C7"/>
    <w:rsid w:val="14C5290E"/>
    <w:rsid w:val="15234AF9"/>
    <w:rsid w:val="159E4C29"/>
    <w:rsid w:val="159F3567"/>
    <w:rsid w:val="15C3400C"/>
    <w:rsid w:val="15C92738"/>
    <w:rsid w:val="175E4FCD"/>
    <w:rsid w:val="177010BF"/>
    <w:rsid w:val="179D539B"/>
    <w:rsid w:val="17FF07E0"/>
    <w:rsid w:val="182B231A"/>
    <w:rsid w:val="18774385"/>
    <w:rsid w:val="189D20F0"/>
    <w:rsid w:val="18B00659"/>
    <w:rsid w:val="18F76053"/>
    <w:rsid w:val="19216F79"/>
    <w:rsid w:val="19495AC7"/>
    <w:rsid w:val="196640D0"/>
    <w:rsid w:val="198C189C"/>
    <w:rsid w:val="19D8128E"/>
    <w:rsid w:val="1A433A07"/>
    <w:rsid w:val="1B1A6CC2"/>
    <w:rsid w:val="1B8208AF"/>
    <w:rsid w:val="1B905A67"/>
    <w:rsid w:val="1BDB460F"/>
    <w:rsid w:val="1C850B31"/>
    <w:rsid w:val="1D4D4071"/>
    <w:rsid w:val="1D924972"/>
    <w:rsid w:val="1DCD7BF2"/>
    <w:rsid w:val="1DED58AA"/>
    <w:rsid w:val="1E0F2F88"/>
    <w:rsid w:val="1ED15529"/>
    <w:rsid w:val="1F472D5E"/>
    <w:rsid w:val="206D33A8"/>
    <w:rsid w:val="21D97B35"/>
    <w:rsid w:val="227D3506"/>
    <w:rsid w:val="231F0DEC"/>
    <w:rsid w:val="23287B81"/>
    <w:rsid w:val="23DD4E09"/>
    <w:rsid w:val="24C35442"/>
    <w:rsid w:val="25A93CC2"/>
    <w:rsid w:val="25D23D80"/>
    <w:rsid w:val="26327F08"/>
    <w:rsid w:val="265000DE"/>
    <w:rsid w:val="26575BF7"/>
    <w:rsid w:val="26F800A2"/>
    <w:rsid w:val="26FB72DE"/>
    <w:rsid w:val="27364651"/>
    <w:rsid w:val="27C46BA8"/>
    <w:rsid w:val="28A340B7"/>
    <w:rsid w:val="28BB5EEC"/>
    <w:rsid w:val="28EA17C3"/>
    <w:rsid w:val="29671E62"/>
    <w:rsid w:val="2ABE30B4"/>
    <w:rsid w:val="2B350125"/>
    <w:rsid w:val="2BD85F46"/>
    <w:rsid w:val="2C165528"/>
    <w:rsid w:val="2C7B5251"/>
    <w:rsid w:val="2DBA52B4"/>
    <w:rsid w:val="2E676FB5"/>
    <w:rsid w:val="2FA65509"/>
    <w:rsid w:val="2FCC2A87"/>
    <w:rsid w:val="303074BA"/>
    <w:rsid w:val="30780C54"/>
    <w:rsid w:val="30925CCC"/>
    <w:rsid w:val="30A63957"/>
    <w:rsid w:val="30C85944"/>
    <w:rsid w:val="30D171E3"/>
    <w:rsid w:val="311803AD"/>
    <w:rsid w:val="3168403F"/>
    <w:rsid w:val="316E0B43"/>
    <w:rsid w:val="31A72DB0"/>
    <w:rsid w:val="32516D3A"/>
    <w:rsid w:val="32D22864"/>
    <w:rsid w:val="33354E82"/>
    <w:rsid w:val="33B76015"/>
    <w:rsid w:val="34A06A7C"/>
    <w:rsid w:val="35304955"/>
    <w:rsid w:val="35654AC0"/>
    <w:rsid w:val="37463130"/>
    <w:rsid w:val="37876647"/>
    <w:rsid w:val="37DA3CB6"/>
    <w:rsid w:val="37E42B49"/>
    <w:rsid w:val="38230FA6"/>
    <w:rsid w:val="38981C91"/>
    <w:rsid w:val="39B22F70"/>
    <w:rsid w:val="39CC5C1F"/>
    <w:rsid w:val="3A540768"/>
    <w:rsid w:val="3A570783"/>
    <w:rsid w:val="3AAC2129"/>
    <w:rsid w:val="3ADF15D9"/>
    <w:rsid w:val="3B240176"/>
    <w:rsid w:val="3C3B3690"/>
    <w:rsid w:val="3D806841"/>
    <w:rsid w:val="3D886B1B"/>
    <w:rsid w:val="3DA837AA"/>
    <w:rsid w:val="3E582AC2"/>
    <w:rsid w:val="3E7D33B1"/>
    <w:rsid w:val="3EEC0AC7"/>
    <w:rsid w:val="40A761FA"/>
    <w:rsid w:val="40B76E3C"/>
    <w:rsid w:val="40E67774"/>
    <w:rsid w:val="41F40E75"/>
    <w:rsid w:val="428A1AD8"/>
    <w:rsid w:val="42B32E46"/>
    <w:rsid w:val="42B45A49"/>
    <w:rsid w:val="42F62FF8"/>
    <w:rsid w:val="43115D2A"/>
    <w:rsid w:val="43833649"/>
    <w:rsid w:val="43A110D9"/>
    <w:rsid w:val="43A37448"/>
    <w:rsid w:val="44261BEB"/>
    <w:rsid w:val="44CA52C6"/>
    <w:rsid w:val="456A6B72"/>
    <w:rsid w:val="457548BA"/>
    <w:rsid w:val="45AB3B22"/>
    <w:rsid w:val="460310D7"/>
    <w:rsid w:val="463043C0"/>
    <w:rsid w:val="46A957EA"/>
    <w:rsid w:val="48691D31"/>
    <w:rsid w:val="48A17C09"/>
    <w:rsid w:val="4A18428E"/>
    <w:rsid w:val="4A5F13D5"/>
    <w:rsid w:val="4AB83DE3"/>
    <w:rsid w:val="4AF866B5"/>
    <w:rsid w:val="4B0F05B9"/>
    <w:rsid w:val="4B7533D4"/>
    <w:rsid w:val="4B867699"/>
    <w:rsid w:val="4C12358B"/>
    <w:rsid w:val="4CA716BB"/>
    <w:rsid w:val="4CC90623"/>
    <w:rsid w:val="4D0113BD"/>
    <w:rsid w:val="4D1A0F3A"/>
    <w:rsid w:val="4D5E522F"/>
    <w:rsid w:val="4D781156"/>
    <w:rsid w:val="4DEF5096"/>
    <w:rsid w:val="4E924C46"/>
    <w:rsid w:val="4E93456C"/>
    <w:rsid w:val="4FB45986"/>
    <w:rsid w:val="4FEB35BA"/>
    <w:rsid w:val="5028562D"/>
    <w:rsid w:val="50572E3A"/>
    <w:rsid w:val="50703ED4"/>
    <w:rsid w:val="50B95A2B"/>
    <w:rsid w:val="50E75363"/>
    <w:rsid w:val="51BB2A6F"/>
    <w:rsid w:val="520D46B1"/>
    <w:rsid w:val="52EF28BF"/>
    <w:rsid w:val="53492B23"/>
    <w:rsid w:val="554C0880"/>
    <w:rsid w:val="555B3583"/>
    <w:rsid w:val="561873AF"/>
    <w:rsid w:val="56A57230"/>
    <w:rsid w:val="56EA0082"/>
    <w:rsid w:val="57363F2C"/>
    <w:rsid w:val="574E7DBD"/>
    <w:rsid w:val="577045CE"/>
    <w:rsid w:val="579C3C93"/>
    <w:rsid w:val="594C4847"/>
    <w:rsid w:val="594E0B1C"/>
    <w:rsid w:val="59564C0F"/>
    <w:rsid w:val="596F6143"/>
    <w:rsid w:val="5A2C4874"/>
    <w:rsid w:val="5AF0321E"/>
    <w:rsid w:val="5B6661A9"/>
    <w:rsid w:val="5D2135F7"/>
    <w:rsid w:val="5DC34C1A"/>
    <w:rsid w:val="5DC5144F"/>
    <w:rsid w:val="5DF54CD0"/>
    <w:rsid w:val="5E4E1E05"/>
    <w:rsid w:val="5EBF0D1A"/>
    <w:rsid w:val="5EC66DFF"/>
    <w:rsid w:val="5ED52EDC"/>
    <w:rsid w:val="5F0B1D9A"/>
    <w:rsid w:val="5F2B6F1B"/>
    <w:rsid w:val="60580719"/>
    <w:rsid w:val="61950182"/>
    <w:rsid w:val="625D1686"/>
    <w:rsid w:val="6277323D"/>
    <w:rsid w:val="63323445"/>
    <w:rsid w:val="642B176B"/>
    <w:rsid w:val="645E4E71"/>
    <w:rsid w:val="65CE5DAE"/>
    <w:rsid w:val="66623E34"/>
    <w:rsid w:val="66E83614"/>
    <w:rsid w:val="67D37864"/>
    <w:rsid w:val="686A28AC"/>
    <w:rsid w:val="688651D5"/>
    <w:rsid w:val="69491E5A"/>
    <w:rsid w:val="6D392803"/>
    <w:rsid w:val="6D4F4D10"/>
    <w:rsid w:val="6E143DEE"/>
    <w:rsid w:val="6E314C1B"/>
    <w:rsid w:val="6F1A3BE3"/>
    <w:rsid w:val="6F705670"/>
    <w:rsid w:val="7049323A"/>
    <w:rsid w:val="708F21F5"/>
    <w:rsid w:val="713F6564"/>
    <w:rsid w:val="715405AB"/>
    <w:rsid w:val="71766318"/>
    <w:rsid w:val="71B312D1"/>
    <w:rsid w:val="72483850"/>
    <w:rsid w:val="741A6EAA"/>
    <w:rsid w:val="74215690"/>
    <w:rsid w:val="74293DC5"/>
    <w:rsid w:val="742A1ACA"/>
    <w:rsid w:val="74CD6F79"/>
    <w:rsid w:val="75C95A32"/>
    <w:rsid w:val="76B5566B"/>
    <w:rsid w:val="7700374E"/>
    <w:rsid w:val="77472954"/>
    <w:rsid w:val="77500E89"/>
    <w:rsid w:val="77736375"/>
    <w:rsid w:val="778C3E77"/>
    <w:rsid w:val="781D7CD6"/>
    <w:rsid w:val="78281497"/>
    <w:rsid w:val="78625656"/>
    <w:rsid w:val="787471D0"/>
    <w:rsid w:val="7AD64A84"/>
    <w:rsid w:val="7BB32051"/>
    <w:rsid w:val="7C224C44"/>
    <w:rsid w:val="7C6423A1"/>
    <w:rsid w:val="7C746095"/>
    <w:rsid w:val="7DF278F3"/>
    <w:rsid w:val="7EC46C78"/>
    <w:rsid w:val="7F092B52"/>
    <w:rsid w:val="7FC20631"/>
    <w:rsid w:val="7FFD0F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uiPriority="0" w:name="Table Classic 3"/>
    <w:lsdException w:qFormat="1" w:unhideWhenUsed="0" w:uiPriority="0" w:semiHidden="0" w:name="Table Classic 4"/>
    <w:lsdException w:qFormat="1" w:unhideWhenUsed="0" w:uiPriority="0" w:semiHidden="0" w:name="Table Colorful 1"/>
    <w:lsdException w:uiPriority="0" w:name="Table Colorful 2"/>
    <w:lsdException w:qFormat="1" w:unhideWhenUsed="0" w:uiPriority="0" w:semiHidden="0" w:name="Table Colorful 3"/>
    <w:lsdException w:uiPriority="0" w:name="Table Columns 1"/>
    <w:lsdException w:uiPriority="0" w:name="Table Columns 2"/>
    <w:lsdException w:qFormat="1" w:unhideWhenUsed="0" w:uiPriority="0" w:semiHidden="0" w:name="Table Columns 3"/>
    <w:lsdException w:uiPriority="0" w:name="Table Columns 4"/>
    <w:lsdException w:uiPriority="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qFormat="1" w:unhideWhenUsed="0" w:uiPriority="0" w:semiHidden="0" w:name="Table List 1"/>
    <w:lsdException w:uiPriority="0" w:name="Table List 2"/>
    <w:lsdException w:qFormat="1" w:unhideWhenUsed="0" w:uiPriority="0" w:semiHidden="0" w:name="Table List 3"/>
    <w:lsdException w:uiPriority="0" w:name="Table List 4"/>
    <w:lsdException w:qFormat="1" w:unhideWhenUsed="0" w:uiPriority="0" w:semiHidden="0" w:name="Table List 5"/>
    <w:lsdException w:qFormat="1" w:unhideWhenUsed="0" w:uiPriority="0"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0"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0"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jc w:val="both"/>
    </w:pPr>
    <w:rPr>
      <w:rFonts w:ascii="Times New Roman" w:hAnsi="Times New Roman" w:eastAsia="仿宋" w:cs="Times New Roman"/>
      <w:kern w:val="2"/>
      <w:sz w:val="28"/>
      <w:szCs w:val="24"/>
      <w:lang w:val="en-US" w:eastAsia="zh-CN" w:bidi="ar-SA"/>
    </w:rPr>
  </w:style>
  <w:style w:type="paragraph" w:styleId="3">
    <w:name w:val="heading 1"/>
    <w:basedOn w:val="1"/>
    <w:next w:val="1"/>
    <w:link w:val="282"/>
    <w:qFormat/>
    <w:uiPriority w:val="9"/>
    <w:pPr>
      <w:pageBreakBefore/>
      <w:numPr>
        <w:ilvl w:val="0"/>
        <w:numId w:val="1"/>
      </w:numPr>
      <w:spacing w:before="320" w:after="320" w:line="240" w:lineRule="auto"/>
      <w:jc w:val="center"/>
      <w:outlineLvl w:val="0"/>
    </w:pPr>
    <w:rPr>
      <w:b/>
      <w:bCs/>
      <w:kern w:val="44"/>
      <w:sz w:val="36"/>
      <w:szCs w:val="44"/>
    </w:rPr>
  </w:style>
  <w:style w:type="paragraph" w:styleId="4">
    <w:name w:val="heading 2"/>
    <w:basedOn w:val="1"/>
    <w:next w:val="5"/>
    <w:link w:val="140"/>
    <w:autoRedefine/>
    <w:qFormat/>
    <w:uiPriority w:val="9"/>
    <w:pPr>
      <w:numPr>
        <w:ilvl w:val="1"/>
        <w:numId w:val="1"/>
      </w:numPr>
      <w:spacing w:before="240" w:after="120" w:line="240" w:lineRule="auto"/>
      <w:jc w:val="left"/>
      <w:outlineLvl w:val="1"/>
    </w:pPr>
    <w:rPr>
      <w:b/>
      <w:bCs/>
      <w:sz w:val="36"/>
      <w:szCs w:val="28"/>
    </w:rPr>
  </w:style>
  <w:style w:type="paragraph" w:styleId="6">
    <w:name w:val="heading 3"/>
    <w:basedOn w:val="1"/>
    <w:next w:val="7"/>
    <w:link w:val="141"/>
    <w:autoRedefine/>
    <w:qFormat/>
    <w:uiPriority w:val="9"/>
    <w:pPr>
      <w:numPr>
        <w:ilvl w:val="2"/>
        <w:numId w:val="1"/>
      </w:numPr>
      <w:spacing w:line="360" w:lineRule="auto"/>
      <w:jc w:val="left"/>
      <w:outlineLvl w:val="2"/>
    </w:pPr>
    <w:rPr>
      <w:b/>
      <w:bCs/>
      <w:sz w:val="30"/>
      <w:szCs w:val="30"/>
      <w:lang w:val="zh-CN"/>
    </w:rPr>
  </w:style>
  <w:style w:type="paragraph" w:styleId="7">
    <w:name w:val="heading 4"/>
    <w:basedOn w:val="1"/>
    <w:next w:val="1"/>
    <w:link w:val="228"/>
    <w:autoRedefine/>
    <w:qFormat/>
    <w:uiPriority w:val="9"/>
    <w:pPr>
      <w:numPr>
        <w:ilvl w:val="3"/>
        <w:numId w:val="1"/>
      </w:numPr>
      <w:spacing w:line="240" w:lineRule="auto"/>
      <w:jc w:val="left"/>
      <w:outlineLvl w:val="3"/>
    </w:pPr>
    <w:rPr>
      <w:b/>
      <w:bCs/>
      <w:szCs w:val="28"/>
    </w:rPr>
  </w:style>
  <w:style w:type="paragraph" w:styleId="8">
    <w:name w:val="heading 5"/>
    <w:basedOn w:val="1"/>
    <w:next w:val="1"/>
    <w:link w:val="145"/>
    <w:autoRedefine/>
    <w:qFormat/>
    <w:uiPriority w:val="9"/>
    <w:pPr>
      <w:numPr>
        <w:ilvl w:val="4"/>
        <w:numId w:val="1"/>
      </w:numPr>
      <w:spacing w:after="120" w:afterLines="50"/>
      <w:jc w:val="left"/>
      <w:outlineLvl w:val="4"/>
    </w:pPr>
    <w:rPr>
      <w:rFonts w:ascii="仿宋" w:hAnsi="仿宋"/>
      <w:bCs/>
      <w:szCs w:val="28"/>
      <w:lang w:val="zh-CN"/>
    </w:rPr>
  </w:style>
  <w:style w:type="paragraph" w:styleId="9">
    <w:name w:val="heading 6"/>
    <w:basedOn w:val="1"/>
    <w:next w:val="1"/>
    <w:link w:val="146"/>
    <w:autoRedefine/>
    <w:qFormat/>
    <w:uiPriority w:val="9"/>
    <w:pPr>
      <w:numPr>
        <w:ilvl w:val="5"/>
        <w:numId w:val="1"/>
      </w:numPr>
      <w:jc w:val="left"/>
      <w:outlineLvl w:val="5"/>
    </w:pPr>
    <w:rPr>
      <w:bCs/>
      <w:lang w:val="zh-CN"/>
    </w:rPr>
  </w:style>
  <w:style w:type="paragraph" w:styleId="10">
    <w:name w:val="heading 7"/>
    <w:basedOn w:val="1"/>
    <w:next w:val="1"/>
    <w:link w:val="147"/>
    <w:autoRedefine/>
    <w:qFormat/>
    <w:uiPriority w:val="9"/>
    <w:pPr>
      <w:numPr>
        <w:ilvl w:val="6"/>
        <w:numId w:val="1"/>
      </w:numPr>
      <w:jc w:val="left"/>
      <w:outlineLvl w:val="6"/>
    </w:pPr>
    <w:rPr>
      <w:bCs/>
      <w:lang w:val="zh-CN"/>
    </w:rPr>
  </w:style>
  <w:style w:type="paragraph" w:styleId="11">
    <w:name w:val="heading 8"/>
    <w:basedOn w:val="1"/>
    <w:next w:val="1"/>
    <w:link w:val="241"/>
    <w:autoRedefine/>
    <w:qFormat/>
    <w:uiPriority w:val="9"/>
    <w:pPr>
      <w:keepNext/>
      <w:keepLines/>
      <w:numPr>
        <w:ilvl w:val="7"/>
        <w:numId w:val="1"/>
      </w:numPr>
      <w:jc w:val="left"/>
      <w:outlineLvl w:val="7"/>
    </w:pPr>
    <w:rPr>
      <w:rFonts w:ascii="Arial" w:hAnsi="Arial"/>
    </w:rPr>
  </w:style>
  <w:style w:type="paragraph" w:styleId="12">
    <w:name w:val="heading 9"/>
    <w:basedOn w:val="1"/>
    <w:next w:val="1"/>
    <w:link w:val="269"/>
    <w:autoRedefine/>
    <w:qFormat/>
    <w:uiPriority w:val="9"/>
    <w:pPr>
      <w:keepNext/>
      <w:keepLines/>
      <w:numPr>
        <w:ilvl w:val="8"/>
        <w:numId w:val="1"/>
      </w:numPr>
      <w:jc w:val="left"/>
      <w:outlineLvl w:val="8"/>
    </w:pPr>
    <w:rPr>
      <w:rFonts w:ascii="Arial" w:hAnsi="Arial"/>
      <w:szCs w:val="21"/>
    </w:rPr>
  </w:style>
  <w:style w:type="character" w:default="1" w:styleId="122">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539"/>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5">
    <w:name w:val="Normal Indent"/>
    <w:basedOn w:val="1"/>
    <w:link w:val="540"/>
    <w:qFormat/>
    <w:uiPriority w:val="0"/>
    <w:pPr>
      <w:ind w:firstLine="420"/>
    </w:pPr>
    <w:rPr>
      <w:szCs w:val="20"/>
    </w:rPr>
  </w:style>
  <w:style w:type="paragraph" w:styleId="13">
    <w:name w:val="List 3"/>
    <w:basedOn w:val="1"/>
    <w:qFormat/>
    <w:uiPriority w:val="0"/>
    <w:pPr>
      <w:spacing w:line="240" w:lineRule="auto"/>
      <w:ind w:left="100" w:leftChars="400" w:hanging="200" w:hangingChars="200"/>
    </w:pPr>
    <w:rPr>
      <w:sz w:val="21"/>
      <w:szCs w:val="20"/>
    </w:rPr>
  </w:style>
  <w:style w:type="paragraph" w:styleId="14">
    <w:name w:val="toc 7"/>
    <w:basedOn w:val="1"/>
    <w:next w:val="1"/>
    <w:autoRedefine/>
    <w:qFormat/>
    <w:uiPriority w:val="39"/>
    <w:pPr>
      <w:ind w:left="1680"/>
      <w:jc w:val="left"/>
    </w:pPr>
    <w:rPr>
      <w:rFonts w:asciiTheme="minorHAnsi" w:hAnsiTheme="minorHAnsi"/>
      <w:sz w:val="18"/>
      <w:szCs w:val="18"/>
    </w:rPr>
  </w:style>
  <w:style w:type="paragraph" w:styleId="15">
    <w:name w:val="List Number 2"/>
    <w:basedOn w:val="1"/>
    <w:qFormat/>
    <w:uiPriority w:val="0"/>
    <w:pPr>
      <w:tabs>
        <w:tab w:val="left" w:pos="780"/>
      </w:tabs>
      <w:spacing w:line="240" w:lineRule="auto"/>
      <w:ind w:left="780" w:hanging="420" w:hangingChars="200"/>
    </w:pPr>
    <w:rPr>
      <w:sz w:val="21"/>
      <w:szCs w:val="20"/>
    </w:rPr>
  </w:style>
  <w:style w:type="paragraph" w:styleId="16">
    <w:name w:val="table of authorities"/>
    <w:basedOn w:val="1"/>
    <w:next w:val="1"/>
    <w:qFormat/>
    <w:uiPriority w:val="0"/>
    <w:pPr>
      <w:ind w:left="420" w:leftChars="200"/>
    </w:pPr>
  </w:style>
  <w:style w:type="paragraph" w:styleId="17">
    <w:name w:val="Note Heading"/>
    <w:basedOn w:val="1"/>
    <w:next w:val="1"/>
    <w:link w:val="168"/>
    <w:qFormat/>
    <w:uiPriority w:val="0"/>
    <w:pPr>
      <w:spacing w:line="240" w:lineRule="auto"/>
      <w:jc w:val="center"/>
    </w:pPr>
    <w:rPr>
      <w:kern w:val="0"/>
      <w:sz w:val="20"/>
      <w:szCs w:val="20"/>
    </w:rPr>
  </w:style>
  <w:style w:type="paragraph" w:styleId="18">
    <w:name w:val="List Bullet 4"/>
    <w:basedOn w:val="1"/>
    <w:qFormat/>
    <w:uiPriority w:val="0"/>
    <w:pPr>
      <w:tabs>
        <w:tab w:val="left" w:pos="1620"/>
      </w:tabs>
      <w:spacing w:line="240" w:lineRule="auto"/>
      <w:ind w:left="1620" w:leftChars="600" w:hanging="360" w:hangingChars="200"/>
    </w:pPr>
    <w:rPr>
      <w:sz w:val="21"/>
      <w:szCs w:val="20"/>
    </w:rPr>
  </w:style>
  <w:style w:type="paragraph" w:styleId="19">
    <w:name w:val="index 8"/>
    <w:basedOn w:val="1"/>
    <w:next w:val="1"/>
    <w:autoRedefine/>
    <w:qFormat/>
    <w:uiPriority w:val="0"/>
    <w:pPr>
      <w:ind w:left="1400" w:leftChars="1400"/>
    </w:pPr>
  </w:style>
  <w:style w:type="paragraph" w:styleId="20">
    <w:name w:val="E-mail Signature"/>
    <w:basedOn w:val="1"/>
    <w:link w:val="169"/>
    <w:qFormat/>
    <w:uiPriority w:val="0"/>
    <w:pPr>
      <w:spacing w:line="240" w:lineRule="auto"/>
    </w:pPr>
    <w:rPr>
      <w:kern w:val="0"/>
      <w:sz w:val="20"/>
      <w:szCs w:val="20"/>
    </w:rPr>
  </w:style>
  <w:style w:type="paragraph" w:styleId="21">
    <w:name w:val="List Number"/>
    <w:basedOn w:val="1"/>
    <w:qFormat/>
    <w:uiPriority w:val="0"/>
    <w:pPr>
      <w:tabs>
        <w:tab w:val="left" w:pos="360"/>
      </w:tabs>
      <w:spacing w:line="240" w:lineRule="auto"/>
      <w:ind w:left="360" w:hanging="360" w:hangingChars="200"/>
    </w:pPr>
    <w:rPr>
      <w:sz w:val="21"/>
      <w:szCs w:val="20"/>
    </w:rPr>
  </w:style>
  <w:style w:type="paragraph" w:styleId="22">
    <w:name w:val="caption"/>
    <w:basedOn w:val="1"/>
    <w:next w:val="1"/>
    <w:link w:val="217"/>
    <w:qFormat/>
    <w:uiPriority w:val="0"/>
    <w:rPr>
      <w:rFonts w:ascii="Arial" w:hAnsi="Arial" w:eastAsia="黑体" w:cs="Arial"/>
      <w:sz w:val="20"/>
      <w:szCs w:val="20"/>
    </w:rPr>
  </w:style>
  <w:style w:type="paragraph" w:styleId="23">
    <w:name w:val="index 5"/>
    <w:basedOn w:val="1"/>
    <w:next w:val="1"/>
    <w:autoRedefine/>
    <w:qFormat/>
    <w:uiPriority w:val="0"/>
    <w:pPr>
      <w:ind w:left="800" w:leftChars="800"/>
    </w:pPr>
  </w:style>
  <w:style w:type="paragraph" w:styleId="24">
    <w:name w:val="List Bullet"/>
    <w:basedOn w:val="1"/>
    <w:qFormat/>
    <w:uiPriority w:val="0"/>
    <w:pPr>
      <w:tabs>
        <w:tab w:val="left" w:pos="360"/>
      </w:tabs>
      <w:spacing w:line="240" w:lineRule="auto"/>
      <w:ind w:left="360" w:hanging="420" w:hangingChars="200"/>
    </w:pPr>
    <w:rPr>
      <w:sz w:val="21"/>
      <w:szCs w:val="20"/>
    </w:rPr>
  </w:style>
  <w:style w:type="paragraph" w:styleId="25">
    <w:name w:val="envelope address"/>
    <w:basedOn w:val="1"/>
    <w:qFormat/>
    <w:uiPriority w:val="0"/>
    <w:pPr>
      <w:snapToGrid w:val="0"/>
      <w:spacing w:line="240" w:lineRule="auto"/>
      <w:ind w:left="100" w:leftChars="1400"/>
    </w:pPr>
    <w:rPr>
      <w:rFonts w:ascii="Arial" w:hAnsi="Arial" w:cs="Arial"/>
    </w:rPr>
  </w:style>
  <w:style w:type="paragraph" w:styleId="26">
    <w:name w:val="Document Map"/>
    <w:basedOn w:val="1"/>
    <w:link w:val="214"/>
    <w:qFormat/>
    <w:uiPriority w:val="99"/>
    <w:pPr>
      <w:shd w:val="clear" w:color="auto" w:fill="000080"/>
    </w:pPr>
  </w:style>
  <w:style w:type="paragraph" w:styleId="27">
    <w:name w:val="toa heading"/>
    <w:basedOn w:val="1"/>
    <w:next w:val="1"/>
    <w:qFormat/>
    <w:uiPriority w:val="0"/>
    <w:pPr>
      <w:spacing w:before="120"/>
    </w:pPr>
    <w:rPr>
      <w:rFonts w:ascii="Arial" w:hAnsi="Arial" w:cs="Arial"/>
    </w:rPr>
  </w:style>
  <w:style w:type="paragraph" w:styleId="28">
    <w:name w:val="annotation text"/>
    <w:basedOn w:val="1"/>
    <w:link w:val="192"/>
    <w:qFormat/>
    <w:uiPriority w:val="99"/>
    <w:pPr>
      <w:jc w:val="left"/>
    </w:pPr>
  </w:style>
  <w:style w:type="paragraph" w:styleId="29">
    <w:name w:val="index 6"/>
    <w:basedOn w:val="1"/>
    <w:next w:val="1"/>
    <w:autoRedefine/>
    <w:qFormat/>
    <w:uiPriority w:val="0"/>
    <w:pPr>
      <w:ind w:left="1000" w:leftChars="1000"/>
    </w:pPr>
  </w:style>
  <w:style w:type="paragraph" w:styleId="30">
    <w:name w:val="Salutation"/>
    <w:basedOn w:val="1"/>
    <w:next w:val="1"/>
    <w:link w:val="161"/>
    <w:qFormat/>
    <w:uiPriority w:val="0"/>
    <w:pPr>
      <w:adjustRightInd w:val="0"/>
      <w:spacing w:before="120" w:line="293" w:lineRule="auto"/>
      <w:ind w:left="480" w:hanging="480"/>
      <w:textAlignment w:val="baseline"/>
    </w:pPr>
    <w:rPr>
      <w:rFonts w:ascii="宋体" w:hAnsi="Arial"/>
      <w:kern w:val="0"/>
      <w:szCs w:val="20"/>
      <w:lang w:val="zh-CN"/>
    </w:rPr>
  </w:style>
  <w:style w:type="paragraph" w:styleId="31">
    <w:name w:val="Body Text 3"/>
    <w:basedOn w:val="1"/>
    <w:link w:val="167"/>
    <w:unhideWhenUsed/>
    <w:qFormat/>
    <w:uiPriority w:val="0"/>
    <w:pPr>
      <w:widowControl/>
      <w:spacing w:line="240" w:lineRule="exact"/>
      <w:jc w:val="center"/>
    </w:pPr>
    <w:rPr>
      <w:rFonts w:ascii="Plotter" w:hAnsi="Plotter"/>
      <w:bCs/>
      <w:color w:val="0000FF"/>
      <w:kern w:val="6"/>
      <w:sz w:val="18"/>
      <w:szCs w:val="21"/>
      <w:lang w:val="zh-CN"/>
    </w:rPr>
  </w:style>
  <w:style w:type="paragraph" w:styleId="32">
    <w:name w:val="Closing"/>
    <w:basedOn w:val="1"/>
    <w:link w:val="170"/>
    <w:qFormat/>
    <w:uiPriority w:val="0"/>
    <w:pPr>
      <w:spacing w:line="240" w:lineRule="auto"/>
      <w:ind w:left="100" w:leftChars="2100"/>
    </w:pPr>
    <w:rPr>
      <w:kern w:val="0"/>
      <w:sz w:val="20"/>
      <w:szCs w:val="20"/>
    </w:rPr>
  </w:style>
  <w:style w:type="paragraph" w:styleId="33">
    <w:name w:val="List Bullet 3"/>
    <w:basedOn w:val="1"/>
    <w:qFormat/>
    <w:uiPriority w:val="0"/>
    <w:pPr>
      <w:tabs>
        <w:tab w:val="left" w:pos="1200"/>
      </w:tabs>
      <w:spacing w:line="240" w:lineRule="auto"/>
      <w:ind w:left="1200" w:leftChars="400" w:hanging="360" w:hangingChars="200"/>
    </w:pPr>
    <w:rPr>
      <w:sz w:val="21"/>
      <w:szCs w:val="20"/>
    </w:rPr>
  </w:style>
  <w:style w:type="paragraph" w:styleId="34">
    <w:name w:val="Body Text"/>
    <w:basedOn w:val="1"/>
    <w:next w:val="1"/>
    <w:link w:val="153"/>
    <w:qFormat/>
    <w:uiPriority w:val="99"/>
    <w:pPr>
      <w:spacing w:after="120" w:line="240" w:lineRule="auto"/>
    </w:pPr>
    <w:rPr>
      <w:lang w:val="zh-CN"/>
    </w:rPr>
  </w:style>
  <w:style w:type="paragraph" w:styleId="35">
    <w:name w:val="Body Text Indent"/>
    <w:basedOn w:val="1"/>
    <w:link w:val="157"/>
    <w:qFormat/>
    <w:uiPriority w:val="0"/>
    <w:pPr>
      <w:spacing w:after="120"/>
      <w:ind w:left="420" w:leftChars="200"/>
    </w:pPr>
    <w:rPr>
      <w:lang w:val="zh-CN"/>
    </w:rPr>
  </w:style>
  <w:style w:type="paragraph" w:styleId="36">
    <w:name w:val="List Number 3"/>
    <w:basedOn w:val="1"/>
    <w:qFormat/>
    <w:uiPriority w:val="0"/>
    <w:pPr>
      <w:tabs>
        <w:tab w:val="left" w:pos="1200"/>
      </w:tabs>
      <w:spacing w:line="240" w:lineRule="auto"/>
      <w:ind w:left="1200" w:leftChars="400" w:hanging="360" w:hangingChars="200"/>
    </w:pPr>
    <w:rPr>
      <w:sz w:val="21"/>
      <w:szCs w:val="20"/>
    </w:rPr>
  </w:style>
  <w:style w:type="paragraph" w:styleId="37">
    <w:name w:val="List 2"/>
    <w:basedOn w:val="1"/>
    <w:unhideWhenUsed/>
    <w:qFormat/>
    <w:uiPriority w:val="0"/>
    <w:pPr>
      <w:spacing w:line="360" w:lineRule="auto"/>
      <w:ind w:left="100" w:leftChars="200" w:hanging="200" w:hangingChars="200"/>
    </w:pPr>
  </w:style>
  <w:style w:type="paragraph" w:styleId="38">
    <w:name w:val="List Continue"/>
    <w:basedOn w:val="1"/>
    <w:qFormat/>
    <w:uiPriority w:val="0"/>
    <w:pPr>
      <w:spacing w:after="120" w:line="240" w:lineRule="auto"/>
      <w:ind w:left="420" w:leftChars="200"/>
    </w:pPr>
    <w:rPr>
      <w:sz w:val="21"/>
      <w:szCs w:val="20"/>
    </w:rPr>
  </w:style>
  <w:style w:type="paragraph" w:styleId="39">
    <w:name w:val="Block Text"/>
    <w:basedOn w:val="1"/>
    <w:unhideWhenUsed/>
    <w:qFormat/>
    <w:uiPriority w:val="0"/>
    <w:pPr>
      <w:spacing w:line="360" w:lineRule="auto"/>
      <w:ind w:left="105" w:leftChars="50" w:right="105" w:rightChars="50"/>
    </w:pPr>
    <w:rPr>
      <w:szCs w:val="21"/>
    </w:rPr>
  </w:style>
  <w:style w:type="paragraph" w:styleId="40">
    <w:name w:val="List Bullet 2"/>
    <w:basedOn w:val="1"/>
    <w:autoRedefine/>
    <w:qFormat/>
    <w:uiPriority w:val="0"/>
    <w:pPr>
      <w:tabs>
        <w:tab w:val="left" w:pos="360"/>
      </w:tabs>
      <w:adjustRightInd w:val="0"/>
      <w:spacing w:line="520" w:lineRule="exact"/>
      <w:ind w:firstLine="480" w:firstLineChars="200"/>
      <w:textAlignment w:val="baseline"/>
    </w:pPr>
    <w:rPr>
      <w:kern w:val="0"/>
    </w:rPr>
  </w:style>
  <w:style w:type="paragraph" w:styleId="41">
    <w:name w:val="HTML Address"/>
    <w:basedOn w:val="1"/>
    <w:link w:val="171"/>
    <w:qFormat/>
    <w:uiPriority w:val="0"/>
    <w:pPr>
      <w:spacing w:line="240" w:lineRule="auto"/>
    </w:pPr>
    <w:rPr>
      <w:i/>
      <w:iCs/>
      <w:kern w:val="0"/>
      <w:sz w:val="20"/>
      <w:szCs w:val="20"/>
      <w:lang w:val="zh-CN"/>
    </w:rPr>
  </w:style>
  <w:style w:type="paragraph" w:styleId="42">
    <w:name w:val="index 4"/>
    <w:basedOn w:val="1"/>
    <w:next w:val="1"/>
    <w:autoRedefine/>
    <w:qFormat/>
    <w:uiPriority w:val="0"/>
    <w:pPr>
      <w:ind w:left="600" w:leftChars="600"/>
    </w:pPr>
  </w:style>
  <w:style w:type="paragraph" w:styleId="43">
    <w:name w:val="toc 5"/>
    <w:basedOn w:val="1"/>
    <w:next w:val="1"/>
    <w:autoRedefine/>
    <w:qFormat/>
    <w:uiPriority w:val="39"/>
    <w:pPr>
      <w:ind w:left="1120"/>
      <w:jc w:val="left"/>
    </w:pPr>
    <w:rPr>
      <w:rFonts w:asciiTheme="minorHAnsi" w:hAnsiTheme="minorHAnsi"/>
      <w:sz w:val="18"/>
      <w:szCs w:val="18"/>
    </w:rPr>
  </w:style>
  <w:style w:type="paragraph" w:styleId="44">
    <w:name w:val="toc 3"/>
    <w:basedOn w:val="1"/>
    <w:next w:val="1"/>
    <w:autoRedefine/>
    <w:qFormat/>
    <w:uiPriority w:val="39"/>
    <w:pPr>
      <w:tabs>
        <w:tab w:val="right" w:leader="dot" w:pos="8733"/>
      </w:tabs>
      <w:ind w:left="560"/>
      <w:jc w:val="left"/>
    </w:pPr>
    <w:rPr>
      <w:rFonts w:asciiTheme="minorHAnsi" w:hAnsiTheme="minorHAnsi"/>
      <w:i/>
      <w:iCs/>
      <w:sz w:val="20"/>
      <w:szCs w:val="20"/>
    </w:rPr>
  </w:style>
  <w:style w:type="paragraph" w:styleId="45">
    <w:name w:val="Plain Text"/>
    <w:basedOn w:val="1"/>
    <w:link w:val="162"/>
    <w:qFormat/>
    <w:uiPriority w:val="0"/>
    <w:pPr>
      <w:spacing w:line="240" w:lineRule="auto"/>
    </w:pPr>
    <w:rPr>
      <w:rFonts w:ascii="宋体" w:hAnsi="Courier New"/>
      <w:sz w:val="21"/>
      <w:szCs w:val="20"/>
      <w:lang w:val="zh-CN"/>
    </w:rPr>
  </w:style>
  <w:style w:type="paragraph" w:styleId="46">
    <w:name w:val="List Bullet 5"/>
    <w:basedOn w:val="1"/>
    <w:qFormat/>
    <w:uiPriority w:val="0"/>
    <w:pPr>
      <w:tabs>
        <w:tab w:val="left" w:pos="2040"/>
      </w:tabs>
      <w:spacing w:line="240" w:lineRule="auto"/>
      <w:ind w:left="2040" w:leftChars="800" w:hanging="360" w:hangingChars="200"/>
    </w:pPr>
    <w:rPr>
      <w:sz w:val="21"/>
      <w:szCs w:val="20"/>
    </w:rPr>
  </w:style>
  <w:style w:type="paragraph" w:styleId="47">
    <w:name w:val="List Number 4"/>
    <w:basedOn w:val="1"/>
    <w:qFormat/>
    <w:uiPriority w:val="0"/>
    <w:pPr>
      <w:tabs>
        <w:tab w:val="left" w:pos="1620"/>
      </w:tabs>
      <w:spacing w:line="240" w:lineRule="auto"/>
      <w:ind w:left="619" w:hanging="619"/>
    </w:pPr>
    <w:rPr>
      <w:sz w:val="21"/>
      <w:szCs w:val="20"/>
    </w:rPr>
  </w:style>
  <w:style w:type="paragraph" w:styleId="48">
    <w:name w:val="toc 8"/>
    <w:basedOn w:val="1"/>
    <w:next w:val="1"/>
    <w:autoRedefine/>
    <w:qFormat/>
    <w:uiPriority w:val="39"/>
    <w:pPr>
      <w:ind w:left="1960"/>
      <w:jc w:val="left"/>
    </w:pPr>
    <w:rPr>
      <w:rFonts w:asciiTheme="minorHAnsi" w:hAnsiTheme="minorHAnsi"/>
      <w:sz w:val="18"/>
      <w:szCs w:val="18"/>
    </w:rPr>
  </w:style>
  <w:style w:type="paragraph" w:styleId="49">
    <w:name w:val="index 3"/>
    <w:basedOn w:val="1"/>
    <w:next w:val="1"/>
    <w:autoRedefine/>
    <w:qFormat/>
    <w:uiPriority w:val="0"/>
    <w:pPr>
      <w:ind w:left="400" w:leftChars="400"/>
    </w:pPr>
  </w:style>
  <w:style w:type="paragraph" w:styleId="50">
    <w:name w:val="Date"/>
    <w:basedOn w:val="1"/>
    <w:next w:val="1"/>
    <w:link w:val="159"/>
    <w:qFormat/>
    <w:uiPriority w:val="0"/>
    <w:pPr>
      <w:adjustRightInd w:val="0"/>
      <w:spacing w:line="360" w:lineRule="atLeast"/>
      <w:textAlignment w:val="baseline"/>
    </w:pPr>
    <w:rPr>
      <w:rFonts w:ascii="宋体"/>
      <w:kern w:val="0"/>
      <w:szCs w:val="20"/>
      <w:lang w:val="zh-CN"/>
    </w:rPr>
  </w:style>
  <w:style w:type="paragraph" w:styleId="51">
    <w:name w:val="Body Text Indent 2"/>
    <w:basedOn w:val="1"/>
    <w:link w:val="163"/>
    <w:qFormat/>
    <w:uiPriority w:val="0"/>
    <w:pPr>
      <w:spacing w:after="120" w:line="480" w:lineRule="auto"/>
      <w:ind w:left="420"/>
    </w:pPr>
    <w:rPr>
      <w:sz w:val="21"/>
      <w:szCs w:val="20"/>
      <w:lang w:val="zh-CN"/>
    </w:rPr>
  </w:style>
  <w:style w:type="paragraph" w:styleId="52">
    <w:name w:val="endnote text"/>
    <w:basedOn w:val="1"/>
    <w:qFormat/>
    <w:uiPriority w:val="0"/>
    <w:pPr>
      <w:snapToGrid w:val="0"/>
      <w:jc w:val="left"/>
    </w:pPr>
  </w:style>
  <w:style w:type="paragraph" w:styleId="53">
    <w:name w:val="List Continue 5"/>
    <w:basedOn w:val="1"/>
    <w:qFormat/>
    <w:uiPriority w:val="0"/>
    <w:pPr>
      <w:spacing w:after="120" w:line="240" w:lineRule="auto"/>
      <w:ind w:left="2100" w:leftChars="1000"/>
    </w:pPr>
    <w:rPr>
      <w:sz w:val="21"/>
      <w:szCs w:val="20"/>
    </w:rPr>
  </w:style>
  <w:style w:type="paragraph" w:styleId="54">
    <w:name w:val="Balloon Text"/>
    <w:basedOn w:val="1"/>
    <w:link w:val="276"/>
    <w:qFormat/>
    <w:uiPriority w:val="99"/>
    <w:rPr>
      <w:sz w:val="18"/>
      <w:szCs w:val="18"/>
    </w:rPr>
  </w:style>
  <w:style w:type="paragraph" w:styleId="55">
    <w:name w:val="footer"/>
    <w:basedOn w:val="1"/>
    <w:link w:val="230"/>
    <w:qFormat/>
    <w:uiPriority w:val="99"/>
    <w:pPr>
      <w:pBdr>
        <w:top w:val="thickThinSmallGap" w:color="auto" w:sz="24" w:space="1"/>
      </w:pBdr>
      <w:tabs>
        <w:tab w:val="center" w:pos="4153"/>
        <w:tab w:val="right" w:pos="8306"/>
      </w:tabs>
      <w:snapToGrid w:val="0"/>
      <w:spacing w:line="240" w:lineRule="auto"/>
      <w:jc w:val="left"/>
    </w:pPr>
    <w:rPr>
      <w:sz w:val="18"/>
      <w:szCs w:val="18"/>
    </w:rPr>
  </w:style>
  <w:style w:type="paragraph" w:styleId="56">
    <w:name w:val="envelope return"/>
    <w:basedOn w:val="1"/>
    <w:qFormat/>
    <w:uiPriority w:val="0"/>
    <w:pPr>
      <w:snapToGrid w:val="0"/>
      <w:spacing w:line="240" w:lineRule="auto"/>
    </w:pPr>
    <w:rPr>
      <w:rFonts w:ascii="Arial" w:hAnsi="Arial" w:cs="Arial"/>
      <w:sz w:val="21"/>
      <w:szCs w:val="20"/>
    </w:rPr>
  </w:style>
  <w:style w:type="paragraph" w:styleId="57">
    <w:name w:val="header"/>
    <w:basedOn w:val="1"/>
    <w:link w:val="266"/>
    <w:qFormat/>
    <w:uiPriority w:val="0"/>
    <w:pPr>
      <w:pBdr>
        <w:bottom w:val="thinThickSmallGap" w:color="auto" w:sz="24" w:space="1"/>
      </w:pBdr>
      <w:tabs>
        <w:tab w:val="center" w:pos="4153"/>
        <w:tab w:val="right" w:pos="8306"/>
      </w:tabs>
      <w:snapToGrid w:val="0"/>
      <w:spacing w:line="240" w:lineRule="auto"/>
    </w:pPr>
    <w:rPr>
      <w:sz w:val="18"/>
      <w:szCs w:val="18"/>
    </w:rPr>
  </w:style>
  <w:style w:type="paragraph" w:styleId="58">
    <w:name w:val="Signature"/>
    <w:basedOn w:val="1"/>
    <w:link w:val="166"/>
    <w:unhideWhenUsed/>
    <w:qFormat/>
    <w:uiPriority w:val="0"/>
    <w:pPr>
      <w:widowControl/>
      <w:spacing w:line="240" w:lineRule="auto"/>
      <w:ind w:left="100" w:leftChars="2100"/>
      <w:jc w:val="left"/>
    </w:pPr>
    <w:rPr>
      <w:kern w:val="0"/>
      <w:lang w:val="zh-CN"/>
    </w:rPr>
  </w:style>
  <w:style w:type="paragraph" w:styleId="59">
    <w:name w:val="toc 1"/>
    <w:basedOn w:val="1"/>
    <w:next w:val="1"/>
    <w:autoRedefine/>
    <w:qFormat/>
    <w:uiPriority w:val="39"/>
    <w:pPr>
      <w:tabs>
        <w:tab w:val="left" w:pos="560"/>
        <w:tab w:val="right" w:leader="dot" w:pos="8733"/>
      </w:tabs>
      <w:spacing w:before="120" w:after="120"/>
      <w:jc w:val="left"/>
    </w:pPr>
    <w:rPr>
      <w:rFonts w:asciiTheme="minorHAnsi" w:hAnsiTheme="minorHAnsi"/>
      <w:b/>
      <w:bCs/>
      <w:caps/>
      <w:sz w:val="20"/>
      <w:szCs w:val="20"/>
    </w:rPr>
  </w:style>
  <w:style w:type="paragraph" w:styleId="60">
    <w:name w:val="List Continue 4"/>
    <w:basedOn w:val="1"/>
    <w:qFormat/>
    <w:uiPriority w:val="0"/>
    <w:pPr>
      <w:spacing w:after="120" w:line="240" w:lineRule="auto"/>
      <w:ind w:left="1680" w:leftChars="800"/>
    </w:pPr>
    <w:rPr>
      <w:sz w:val="21"/>
      <w:szCs w:val="20"/>
    </w:rPr>
  </w:style>
  <w:style w:type="paragraph" w:styleId="61">
    <w:name w:val="toc 4"/>
    <w:basedOn w:val="1"/>
    <w:next w:val="1"/>
    <w:autoRedefine/>
    <w:qFormat/>
    <w:uiPriority w:val="39"/>
    <w:pPr>
      <w:ind w:left="840"/>
      <w:jc w:val="left"/>
    </w:pPr>
    <w:rPr>
      <w:rFonts w:asciiTheme="minorHAnsi" w:hAnsiTheme="minorHAnsi"/>
      <w:sz w:val="18"/>
      <w:szCs w:val="18"/>
    </w:rPr>
  </w:style>
  <w:style w:type="paragraph" w:styleId="62">
    <w:name w:val="index heading"/>
    <w:basedOn w:val="1"/>
    <w:next w:val="63"/>
    <w:qFormat/>
    <w:uiPriority w:val="0"/>
    <w:rPr>
      <w:rFonts w:ascii="Arial" w:hAnsi="Arial" w:cs="Arial"/>
      <w:b/>
      <w:bCs/>
    </w:rPr>
  </w:style>
  <w:style w:type="paragraph" w:styleId="63">
    <w:name w:val="index 1"/>
    <w:basedOn w:val="1"/>
    <w:next w:val="1"/>
    <w:autoRedefine/>
    <w:qFormat/>
    <w:uiPriority w:val="0"/>
  </w:style>
  <w:style w:type="paragraph" w:styleId="64">
    <w:name w:val="Subtitle"/>
    <w:basedOn w:val="1"/>
    <w:link w:val="173"/>
    <w:qFormat/>
    <w:uiPriority w:val="11"/>
    <w:pPr>
      <w:spacing w:before="240" w:after="60" w:line="312" w:lineRule="auto"/>
      <w:jc w:val="center"/>
      <w:outlineLvl w:val="1"/>
    </w:pPr>
    <w:rPr>
      <w:rFonts w:ascii="Arial" w:hAnsi="Arial"/>
      <w:b/>
      <w:bCs/>
      <w:kern w:val="28"/>
      <w:sz w:val="32"/>
      <w:szCs w:val="32"/>
      <w:lang w:val="zh-CN"/>
    </w:rPr>
  </w:style>
  <w:style w:type="paragraph" w:styleId="65">
    <w:name w:val="List Number 5"/>
    <w:basedOn w:val="1"/>
    <w:qFormat/>
    <w:uiPriority w:val="0"/>
    <w:pPr>
      <w:tabs>
        <w:tab w:val="left" w:pos="2040"/>
      </w:tabs>
      <w:spacing w:line="240" w:lineRule="auto"/>
      <w:ind w:left="2040" w:leftChars="800" w:hanging="360" w:hangingChars="200"/>
    </w:pPr>
    <w:rPr>
      <w:sz w:val="21"/>
      <w:szCs w:val="20"/>
    </w:rPr>
  </w:style>
  <w:style w:type="paragraph" w:styleId="66">
    <w:name w:val="List"/>
    <w:autoRedefine/>
    <w:qFormat/>
    <w:uiPriority w:val="0"/>
    <w:pPr>
      <w:numPr>
        <w:ilvl w:val="0"/>
        <w:numId w:val="2"/>
      </w:numPr>
      <w:spacing w:line="420" w:lineRule="exact"/>
      <w:ind w:left="1000" w:leftChars="800" w:hanging="200" w:hangingChars="200"/>
    </w:pPr>
    <w:rPr>
      <w:rFonts w:ascii="Times New Roman" w:hAnsi="Times New Roman" w:eastAsia="楷体_GB2312" w:cs="Times New Roman"/>
      <w:kern w:val="2"/>
      <w:sz w:val="21"/>
      <w:szCs w:val="24"/>
      <w:lang w:val="en-US" w:eastAsia="zh-CN" w:bidi="ar-SA"/>
    </w:rPr>
  </w:style>
  <w:style w:type="paragraph" w:styleId="67">
    <w:name w:val="footnote text"/>
    <w:basedOn w:val="1"/>
    <w:qFormat/>
    <w:uiPriority w:val="0"/>
    <w:pPr>
      <w:snapToGrid w:val="0"/>
      <w:jc w:val="left"/>
    </w:pPr>
    <w:rPr>
      <w:sz w:val="18"/>
      <w:szCs w:val="18"/>
    </w:rPr>
  </w:style>
  <w:style w:type="paragraph" w:styleId="68">
    <w:name w:val="toc 6"/>
    <w:basedOn w:val="1"/>
    <w:next w:val="1"/>
    <w:autoRedefine/>
    <w:qFormat/>
    <w:uiPriority w:val="39"/>
    <w:pPr>
      <w:ind w:left="1400"/>
      <w:jc w:val="left"/>
    </w:pPr>
    <w:rPr>
      <w:rFonts w:asciiTheme="minorHAnsi" w:hAnsiTheme="minorHAnsi"/>
      <w:sz w:val="18"/>
      <w:szCs w:val="18"/>
    </w:rPr>
  </w:style>
  <w:style w:type="paragraph" w:styleId="69">
    <w:name w:val="List 5"/>
    <w:basedOn w:val="1"/>
    <w:qFormat/>
    <w:uiPriority w:val="0"/>
    <w:pPr>
      <w:spacing w:line="240" w:lineRule="auto"/>
      <w:ind w:left="100" w:leftChars="800" w:hanging="200" w:hangingChars="200"/>
    </w:pPr>
    <w:rPr>
      <w:sz w:val="21"/>
      <w:szCs w:val="20"/>
    </w:rPr>
  </w:style>
  <w:style w:type="paragraph" w:styleId="70">
    <w:name w:val="Body Text Indent 3"/>
    <w:basedOn w:val="1"/>
    <w:link w:val="158"/>
    <w:qFormat/>
    <w:uiPriority w:val="0"/>
    <w:pPr>
      <w:topLinePunct/>
      <w:spacing w:after="120" w:line="360" w:lineRule="auto"/>
      <w:ind w:left="420" w:firstLine="420" w:firstLineChars="200"/>
    </w:pPr>
    <w:rPr>
      <w:sz w:val="16"/>
      <w:szCs w:val="20"/>
      <w:lang w:val="zh-CN"/>
    </w:rPr>
  </w:style>
  <w:style w:type="paragraph" w:styleId="71">
    <w:name w:val="index 7"/>
    <w:basedOn w:val="1"/>
    <w:next w:val="1"/>
    <w:autoRedefine/>
    <w:qFormat/>
    <w:uiPriority w:val="0"/>
    <w:pPr>
      <w:ind w:left="1200" w:leftChars="1200"/>
    </w:pPr>
  </w:style>
  <w:style w:type="paragraph" w:styleId="72">
    <w:name w:val="index 9"/>
    <w:basedOn w:val="1"/>
    <w:next w:val="1"/>
    <w:autoRedefine/>
    <w:qFormat/>
    <w:uiPriority w:val="0"/>
    <w:pPr>
      <w:ind w:left="1600" w:leftChars="1600"/>
    </w:pPr>
  </w:style>
  <w:style w:type="paragraph" w:styleId="73">
    <w:name w:val="table of figures"/>
    <w:basedOn w:val="1"/>
    <w:next w:val="1"/>
    <w:qFormat/>
    <w:uiPriority w:val="0"/>
    <w:pPr>
      <w:ind w:left="200" w:leftChars="200" w:hanging="200" w:hangingChars="200"/>
    </w:pPr>
  </w:style>
  <w:style w:type="paragraph" w:styleId="74">
    <w:name w:val="toc 2"/>
    <w:basedOn w:val="1"/>
    <w:next w:val="1"/>
    <w:autoRedefine/>
    <w:qFormat/>
    <w:uiPriority w:val="39"/>
    <w:pPr>
      <w:ind w:left="280"/>
      <w:jc w:val="left"/>
    </w:pPr>
    <w:rPr>
      <w:rFonts w:asciiTheme="minorHAnsi" w:hAnsiTheme="minorHAnsi"/>
      <w:smallCaps/>
      <w:sz w:val="20"/>
      <w:szCs w:val="20"/>
    </w:rPr>
  </w:style>
  <w:style w:type="paragraph" w:styleId="75">
    <w:name w:val="toc 9"/>
    <w:basedOn w:val="1"/>
    <w:next w:val="1"/>
    <w:autoRedefine/>
    <w:qFormat/>
    <w:uiPriority w:val="39"/>
    <w:pPr>
      <w:ind w:left="2240"/>
      <w:jc w:val="left"/>
    </w:pPr>
    <w:rPr>
      <w:rFonts w:asciiTheme="minorHAnsi" w:hAnsiTheme="minorHAnsi"/>
      <w:sz w:val="18"/>
      <w:szCs w:val="18"/>
    </w:rPr>
  </w:style>
  <w:style w:type="paragraph" w:styleId="76">
    <w:name w:val="Body Text 2"/>
    <w:basedOn w:val="1"/>
    <w:link w:val="160"/>
    <w:qFormat/>
    <w:uiPriority w:val="0"/>
    <w:pPr>
      <w:spacing w:after="120" w:line="480" w:lineRule="auto"/>
    </w:pPr>
    <w:rPr>
      <w:sz w:val="21"/>
      <w:szCs w:val="20"/>
      <w:lang w:val="zh-CN"/>
    </w:rPr>
  </w:style>
  <w:style w:type="paragraph" w:styleId="77">
    <w:name w:val="List 4"/>
    <w:basedOn w:val="1"/>
    <w:qFormat/>
    <w:uiPriority w:val="0"/>
    <w:pPr>
      <w:spacing w:line="240" w:lineRule="auto"/>
      <w:ind w:left="100" w:leftChars="600" w:hanging="200" w:hangingChars="200"/>
    </w:pPr>
    <w:rPr>
      <w:sz w:val="21"/>
      <w:szCs w:val="20"/>
    </w:rPr>
  </w:style>
  <w:style w:type="paragraph" w:styleId="78">
    <w:name w:val="List Continue 2"/>
    <w:basedOn w:val="1"/>
    <w:qFormat/>
    <w:uiPriority w:val="0"/>
    <w:pPr>
      <w:spacing w:after="120" w:line="240" w:lineRule="auto"/>
      <w:ind w:left="840" w:leftChars="400"/>
    </w:pPr>
    <w:rPr>
      <w:sz w:val="21"/>
      <w:szCs w:val="20"/>
    </w:rPr>
  </w:style>
  <w:style w:type="paragraph" w:styleId="79">
    <w:name w:val="Message Header"/>
    <w:basedOn w:val="1"/>
    <w:link w:val="164"/>
    <w:qFormat/>
    <w:uiPriority w:val="0"/>
    <w:pPr>
      <w:pBdr>
        <w:top w:val="single" w:color="auto" w:sz="6" w:space="1"/>
        <w:left w:val="single" w:color="auto" w:sz="6" w:space="1"/>
        <w:bottom w:val="single" w:color="auto" w:sz="6" w:space="1"/>
        <w:right w:val="single" w:color="auto" w:sz="6" w:space="1"/>
      </w:pBdr>
      <w:shd w:val="pct20" w:color="auto" w:fill="auto"/>
      <w:spacing w:line="360" w:lineRule="auto"/>
      <w:ind w:left="1080" w:leftChars="500" w:hanging="1080" w:hangingChars="500"/>
    </w:pPr>
    <w:rPr>
      <w:rFonts w:ascii="Arial" w:hAnsi="Arial"/>
      <w:lang w:val="zh-CN"/>
    </w:rPr>
  </w:style>
  <w:style w:type="paragraph" w:styleId="80">
    <w:name w:val="HTML Preformatted"/>
    <w:basedOn w:val="1"/>
    <w:link w:val="174"/>
    <w:qFormat/>
    <w:uiPriority w:val="0"/>
    <w:pPr>
      <w:spacing w:line="240" w:lineRule="auto"/>
    </w:pPr>
    <w:rPr>
      <w:rFonts w:ascii="Courier New" w:hAnsi="Courier New"/>
      <w:kern w:val="0"/>
      <w:sz w:val="20"/>
      <w:szCs w:val="20"/>
      <w:lang w:val="zh-CN"/>
    </w:rPr>
  </w:style>
  <w:style w:type="paragraph" w:styleId="81">
    <w:name w:val="Normal (Web)"/>
    <w:basedOn w:val="1"/>
    <w:link w:val="508"/>
    <w:unhideWhenUsed/>
    <w:qFormat/>
    <w:uiPriority w:val="99"/>
    <w:pPr>
      <w:widowControl/>
      <w:spacing w:before="100" w:beforeAutospacing="1" w:after="100" w:afterAutospacing="1" w:line="240" w:lineRule="auto"/>
      <w:jc w:val="left"/>
    </w:pPr>
    <w:rPr>
      <w:rFonts w:ascii="宋体" w:hAnsi="宋体" w:cs="宋体"/>
      <w:kern w:val="0"/>
    </w:rPr>
  </w:style>
  <w:style w:type="paragraph" w:styleId="82">
    <w:name w:val="List Continue 3"/>
    <w:basedOn w:val="1"/>
    <w:qFormat/>
    <w:uiPriority w:val="0"/>
    <w:pPr>
      <w:spacing w:after="120" w:line="240" w:lineRule="auto"/>
      <w:ind w:left="1260" w:leftChars="600"/>
    </w:pPr>
    <w:rPr>
      <w:sz w:val="21"/>
      <w:szCs w:val="20"/>
    </w:rPr>
  </w:style>
  <w:style w:type="paragraph" w:styleId="83">
    <w:name w:val="index 2"/>
    <w:basedOn w:val="1"/>
    <w:next w:val="1"/>
    <w:autoRedefine/>
    <w:qFormat/>
    <w:uiPriority w:val="0"/>
    <w:pPr>
      <w:ind w:left="200" w:leftChars="200"/>
    </w:pPr>
  </w:style>
  <w:style w:type="paragraph" w:styleId="84">
    <w:name w:val="Title"/>
    <w:basedOn w:val="1"/>
    <w:next w:val="1"/>
    <w:link w:val="149"/>
    <w:autoRedefine/>
    <w:qFormat/>
    <w:uiPriority w:val="0"/>
    <w:pPr>
      <w:numPr>
        <w:ilvl w:val="0"/>
        <w:numId w:val="3"/>
      </w:numPr>
      <w:spacing w:before="240" w:after="60"/>
      <w:jc w:val="center"/>
      <w:outlineLvl w:val="0"/>
    </w:pPr>
    <w:rPr>
      <w:rFonts w:ascii="Cambria" w:hAnsi="Cambria"/>
      <w:b/>
      <w:bCs/>
      <w:sz w:val="36"/>
      <w:szCs w:val="32"/>
      <w:lang w:val="zh-CN"/>
    </w:rPr>
  </w:style>
  <w:style w:type="paragraph" w:styleId="85">
    <w:name w:val="annotation subject"/>
    <w:basedOn w:val="28"/>
    <w:next w:val="28"/>
    <w:link w:val="287"/>
    <w:qFormat/>
    <w:uiPriority w:val="0"/>
    <w:rPr>
      <w:b/>
      <w:bCs/>
    </w:rPr>
  </w:style>
  <w:style w:type="paragraph" w:styleId="86">
    <w:name w:val="Body Text First Indent"/>
    <w:basedOn w:val="34"/>
    <w:link w:val="154"/>
    <w:unhideWhenUsed/>
    <w:qFormat/>
    <w:uiPriority w:val="0"/>
    <w:pPr>
      <w:ind w:firstLine="420" w:firstLineChars="200"/>
    </w:pPr>
  </w:style>
  <w:style w:type="paragraph" w:styleId="87">
    <w:name w:val="Body Text First Indent 2"/>
    <w:basedOn w:val="35"/>
    <w:link w:val="172"/>
    <w:qFormat/>
    <w:uiPriority w:val="0"/>
    <w:pPr>
      <w:overflowPunct w:val="0"/>
      <w:spacing w:line="240" w:lineRule="auto"/>
      <w:ind w:left="0" w:leftChars="0" w:firstLine="210"/>
    </w:pPr>
  </w:style>
  <w:style w:type="table" w:styleId="89">
    <w:name w:val="Table Grid"/>
    <w:basedOn w:val="88"/>
    <w:qFormat/>
    <w:uiPriority w:val="59"/>
    <w:pPr>
      <w:widowControl w:val="0"/>
      <w:jc w:val="center"/>
    </w:pPr>
    <w:rPr>
      <w:sz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cPr>
      <w:vAlign w:val="center"/>
    </w:tcPr>
  </w:style>
  <w:style w:type="table" w:styleId="90">
    <w:name w:val="Table Theme"/>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qFormat/>
    <w:uiPriority w:val="0"/>
    <w:pPr>
      <w:widowControl w:val="0"/>
      <w:spacing w:line="480" w:lineRule="exact"/>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Pr/>
    </w:tblStylePr>
  </w:style>
  <w:style w:type="table" w:styleId="92">
    <w:name w:val="Table Colorful 3"/>
    <w:basedOn w:val="88"/>
    <w:qFormat/>
    <w:uiPriority w:val="0"/>
    <w:pPr>
      <w:widowControl w:val="0"/>
      <w:spacing w:line="480" w:lineRule="exact"/>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cPr>
        <w:shd w:val="solid" w:color="000000" w:fill="FFFFFF"/>
      </w:tcPr>
    </w:tblStylePr>
  </w:style>
  <w:style w:type="table" w:styleId="93">
    <w:name w:val="Table Elegant"/>
    <w:basedOn w:val="88"/>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4">
    <w:name w:val="Table Classic 1"/>
    <w:basedOn w:val="88"/>
    <w:qFormat/>
    <w:uiPriority w:val="0"/>
    <w:pPr>
      <w:widowControl w:val="0"/>
      <w:spacing w:line="480" w:lineRule="exact"/>
      <w:ind w:firstLine="200" w:firstLineChars="20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blStylePr>
    <w:tblStylePr w:type="swCell">
      <w:rPr>
        <w:b/>
        <w:bCs/>
      </w:rPr>
      <w:tblPr/>
    </w:tblStylePr>
  </w:style>
  <w:style w:type="table" w:styleId="95">
    <w:name w:val="Table Classic 2"/>
    <w:basedOn w:val="88"/>
    <w:qFormat/>
    <w:uiPriority w:val="0"/>
    <w:pPr>
      <w:widowControl w:val="0"/>
      <w:spacing w:line="480" w:lineRule="exact"/>
      <w:jc w:val="both"/>
    </w:pPr>
    <w:tblPr>
      <w:tblBorders>
        <w:top w:val="double" w:color="auto" w:sz="4" w:space="0"/>
        <w:bottom w:val="double" w:color="auto" w:sz="4" w:space="0"/>
        <w:insideH w:val="single" w:color="auto" w:sz="4" w:space="0"/>
        <w:insideV w:val="single" w:color="auto" w:sz="4" w:space="0"/>
      </w:tblBorders>
    </w:tblPr>
    <w:tcPr>
      <w:shd w:val="clear" w:color="auto" w:fill="auto"/>
      <w:vAlign w:val="center"/>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6">
    <w:name w:val="Table Classic 4"/>
    <w:basedOn w:val="88"/>
    <w:qFormat/>
    <w:uiPriority w:val="0"/>
    <w:pPr>
      <w:widowControl w:val="0"/>
      <w:spacing w:line="440" w:lineRule="exact"/>
      <w:ind w:firstLine="480" w:firstLineChars="20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bl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blPr/>
    </w:tblStylePr>
    <w:tblStylePr w:type="nwCell">
      <w:rPr>
        <w:b/>
        <w:bCs/>
      </w:rPr>
      <w:tblPr/>
    </w:tblStylePr>
    <w:tblStylePr w:type="swCell">
      <w:rPr>
        <w:color w:val="000080"/>
      </w:rPr>
      <w:tblPr/>
    </w:tblStylePr>
  </w:style>
  <w:style w:type="table" w:styleId="97">
    <w:name w:val="Table Simple 1"/>
    <w:basedOn w:val="88"/>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8">
    <w:name w:val="Table Simple 2"/>
    <w:basedOn w:val="88"/>
    <w:qFormat/>
    <w:uiPriority w:val="0"/>
    <w:pPr>
      <w:widowControl w:val="0"/>
      <w:spacing w:line="480" w:lineRule="exact"/>
      <w:ind w:firstLine="200" w:firstLineChars="20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9">
    <w:name w:val="Table Simple 3"/>
    <w:basedOn w:val="88"/>
    <w:qFormat/>
    <w:uiPriority w:val="0"/>
    <w:pPr>
      <w:widowControl w:val="0"/>
      <w:spacing w:line="480" w:lineRule="exact"/>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0">
    <w:name w:val="Table Subtle 1"/>
    <w:basedOn w:val="88"/>
    <w:qFormat/>
    <w:uiPriority w:val="0"/>
    <w:pPr>
      <w:widowControl w:val="0"/>
      <w:snapToGrid w:val="0"/>
      <w:spacing w:line="360" w:lineRule="auto"/>
      <w:ind w:firstLine="200" w:firstLineChars="200"/>
      <w:jc w:val="both"/>
    </w:pPr>
    <w:tblPr>
      <w:tblStyleRowBandSize w:val="1"/>
    </w:tblPr>
    <w:tblStylePr w:type="firstRow">
      <w:rPr>
        <w:rFonts w:cs="Times New Roman"/>
      </w:rPr>
      <w:tblPr/>
      <w:tcPr>
        <w:tcBorders>
          <w:top w:val="single" w:color="000000" w:sz="6" w:space="0"/>
          <w:bottom w:val="single" w:color="000000" w:sz="12" w:space="0"/>
          <w:tl2br w:val="nil"/>
          <w:tr2bl w:val="nil"/>
        </w:tcBorders>
      </w:tcPr>
    </w:tblStylePr>
    <w:tblStylePr w:type="lastRow">
      <w:rPr>
        <w:rFonts w:cs="Times New Roman"/>
      </w:rPr>
      <w:tblPr/>
      <w:tcPr>
        <w:tcBorders>
          <w:top w:val="single" w:color="000000" w:sz="12" w:space="0"/>
          <w:tl2br w:val="nil"/>
          <w:tr2bl w:val="nil"/>
        </w:tcBorders>
        <w:shd w:val="pct25" w:color="800080" w:fill="FFFFFF"/>
      </w:tcPr>
    </w:tblStylePr>
    <w:tblStylePr w:type="firstCol">
      <w:rPr>
        <w:rFonts w:cs="Times New Roman"/>
      </w:rPr>
      <w:tblPr/>
      <w:tcPr>
        <w:tcBorders>
          <w:right w:val="single" w:color="000000" w:sz="12" w:space="0"/>
          <w:tl2br w:val="nil"/>
          <w:tr2bl w:val="nil"/>
        </w:tcBorders>
      </w:tcPr>
    </w:tblStylePr>
    <w:tblStylePr w:type="lastCol">
      <w:rPr>
        <w:rFonts w:cs="Times New Roman"/>
      </w:rPr>
      <w:tblPr/>
      <w:tcPr>
        <w:tcBorders>
          <w:left w:val="single" w:color="000000" w:sz="12" w:space="0"/>
          <w:tl2br w:val="nil"/>
          <w:tr2bl w:val="nil"/>
        </w:tcBorders>
      </w:tcPr>
    </w:tblStylePr>
    <w:tblStylePr w:type="band1Horz">
      <w:rPr>
        <w:rFonts w:cs="Times New Roman"/>
      </w:rPr>
      <w:tblPr/>
      <w:tcPr>
        <w:tcBorders>
          <w:bottom w:val="single" w:color="000000" w:sz="6" w:space="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01">
    <w:name w:val="Table Subtle 2"/>
    <w:basedOn w:val="88"/>
    <w:qFormat/>
    <w:uiPriority w:val="0"/>
    <w:pPr>
      <w:widowControl w:val="0"/>
      <w:snapToGrid w:val="0"/>
      <w:spacing w:line="360" w:lineRule="auto"/>
      <w:ind w:firstLine="200" w:firstLineChars="20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2">
    <w:name w:val="Table List 1"/>
    <w:basedOn w:val="88"/>
    <w:qFormat/>
    <w:uiPriority w:val="0"/>
    <w:pPr>
      <w:widowControl w:val="0"/>
      <w:spacing w:line="480" w:lineRule="exact"/>
      <w:ind w:firstLine="200" w:firstLineChars="20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3">
    <w:name w:val="Table List 3"/>
    <w:basedOn w:val="88"/>
    <w:qFormat/>
    <w:uiPriority w:val="0"/>
    <w:pPr>
      <w:widowControl w:val="0"/>
      <w:spacing w:line="480" w:lineRule="exact"/>
      <w:ind w:firstLine="200" w:firstLineChars="20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blStylePr>
  </w:style>
  <w:style w:type="table" w:styleId="104">
    <w:name w:val="Table List 5"/>
    <w:basedOn w:val="88"/>
    <w:qFormat/>
    <w:uiPriority w:val="0"/>
    <w:pPr>
      <w:widowControl w:val="0"/>
      <w:spacing w:line="480" w:lineRule="exact"/>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5">
    <w:name w:val="Table List 6"/>
    <w:basedOn w:val="88"/>
    <w:qFormat/>
    <w:uiPriority w:val="0"/>
    <w:pPr>
      <w:widowControl w:val="0"/>
      <w:snapToGrid w:val="0"/>
      <w:spacing w:line="360" w:lineRule="auto"/>
      <w:ind w:firstLine="200" w:firstLineChars="20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6">
    <w:name w:val="Table Columns 3"/>
    <w:basedOn w:val="88"/>
    <w:qFormat/>
    <w:uiPriority w:val="0"/>
    <w:pPr>
      <w:widowControl w:val="0"/>
      <w:spacing w:line="500" w:lineRule="exact"/>
      <w:ind w:firstLine="200" w:firstLineChars="20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Grid 1"/>
    <w:basedOn w:val="88"/>
    <w:qFormat/>
    <w:uiPriority w:val="0"/>
    <w:pPr>
      <w:widowControl w:val="0"/>
    </w:pPr>
    <w:rPr>
      <w:szCs w:val="21"/>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blStylePr>
    <w:tblStylePr w:type="lastCol">
      <w:rPr>
        <w:i/>
        <w:iCs/>
      </w:rPr>
      <w:tblPr/>
    </w:tblStylePr>
    <w:tblStylePr w:type="nwCell">
      <w:tblPr/>
      <w:tcPr>
        <w:tcBorders>
          <w:top w:val="nil"/>
          <w:left w:val="nil"/>
          <w:bottom w:val="nil"/>
          <w:right w:val="nil"/>
          <w:insideH w:val="nil"/>
          <w:insideV w:val="nil"/>
          <w:tl2br w:val="single" w:color="000000" w:sz="6" w:space="0"/>
          <w:tr2bl w:val="nil"/>
        </w:tcBorders>
      </w:tcPr>
    </w:tblStylePr>
  </w:style>
  <w:style w:type="table" w:styleId="108">
    <w:name w:val="Table Grid 2"/>
    <w:basedOn w:val="88"/>
    <w:qFormat/>
    <w:uiPriority w:val="0"/>
    <w:pPr>
      <w:widowControl w:val="0"/>
      <w:spacing w:line="480" w:lineRule="exact"/>
      <w:ind w:firstLine="200" w:firstLineChars="200"/>
      <w:jc w:val="both"/>
    </w:pPr>
    <w:tblPr>
      <w:tblBorders>
        <w:insideH w:val="single" w:color="000000" w:sz="6" w:space="0"/>
        <w:insideV w:val="single" w:color="000000" w:sz="6" w:space="0"/>
      </w:tblBorders>
    </w:tblPr>
    <w:tcPr>
      <w:shd w:val="clear" w:color="auto" w:fill="auto"/>
    </w:tcPr>
    <w:tblStylePr w:type="firstRow">
      <w:rPr>
        <w:b/>
        <w:bCs/>
      </w:rPr>
      <w:tbl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blStylePr>
    <w:tblStylePr w:type="lastCol">
      <w:rPr>
        <w:b/>
        <w:bCs/>
      </w:rPr>
      <w:tblPr/>
    </w:tblStylePr>
  </w:style>
  <w:style w:type="table" w:styleId="109">
    <w:name w:val="Table Grid 3"/>
    <w:basedOn w:val="88"/>
    <w:qFormat/>
    <w:uiPriority w:val="0"/>
    <w:pPr>
      <w:widowControl w:val="0"/>
      <w:spacing w:line="480" w:lineRule="exact"/>
      <w:ind w:firstLine="200" w:firstLineChars="20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blPr/>
    </w:tblStylePr>
    <w:tblStylePr w:type="lastCol">
      <w:rPr>
        <w:b/>
        <w:bCs/>
      </w:rPr>
      <w:tbl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8"/>
    <w:basedOn w:val="88"/>
    <w:qFormat/>
    <w:uiPriority w:val="0"/>
    <w:pPr>
      <w:widowControl w:val="0"/>
      <w:spacing w:line="480" w:lineRule="exact"/>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shd w:val="solid" w:color="000080" w:fill="FFFFFF"/>
      </w:tcPr>
    </w:tblStylePr>
    <w:tblStylePr w:type="lastRow">
      <w:rPr>
        <w:b/>
        <w:bCs/>
        <w:color w:val="auto"/>
      </w:rPr>
      <w:tblPr/>
    </w:tblStylePr>
    <w:tblStylePr w:type="lastCol">
      <w:rPr>
        <w:b/>
        <w:bCs/>
        <w:color w:val="auto"/>
      </w:rPr>
      <w:tblPr/>
    </w:tblStylePr>
  </w:style>
  <w:style w:type="table" w:styleId="111">
    <w:name w:val="Table Web 1"/>
    <w:basedOn w:val="88"/>
    <w:qFormat/>
    <w:uiPriority w:val="0"/>
    <w:pPr>
      <w:widowControl w:val="0"/>
      <w:spacing w:line="480" w:lineRule="exact"/>
      <w:ind w:firstLine="200" w:firstLineChars="20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blStylePr>
  </w:style>
  <w:style w:type="table" w:styleId="112">
    <w:name w:val="Table Web 2"/>
    <w:basedOn w:val="88"/>
    <w:qFormat/>
    <w:uiPriority w:val="0"/>
    <w:pPr>
      <w:widowControl w:val="0"/>
      <w:spacing w:line="480" w:lineRule="exact"/>
      <w:ind w:firstLine="200" w:firstLineChars="20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blStylePr>
  </w:style>
  <w:style w:type="table" w:styleId="113">
    <w:name w:val="Table Web 3"/>
    <w:basedOn w:val="88"/>
    <w:qFormat/>
    <w:uiPriority w:val="0"/>
    <w:pPr>
      <w:widowControl w:val="0"/>
      <w:spacing w:line="480" w:lineRule="exact"/>
      <w:ind w:firstLine="200" w:firstLineChars="20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blStylePr>
  </w:style>
  <w:style w:type="table" w:styleId="114">
    <w:name w:val="Table Professional"/>
    <w:basedOn w:val="88"/>
    <w:qFormat/>
    <w:uiPriority w:val="0"/>
    <w:pPr>
      <w:widowControl w:val="0"/>
      <w:spacing w:line="360" w:lineRule="auto"/>
      <w:ind w:firstLine="640" w:firstLineChars="20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shd w:val="solid" w:color="000000" w:fill="FFFFFF"/>
      </w:tcPr>
    </w:tblStylePr>
  </w:style>
  <w:style w:type="table" w:styleId="115">
    <w:name w:val="Light List Accent 3"/>
    <w:basedOn w:val="88"/>
    <w:qFormat/>
    <w:uiPriority w:val="0"/>
    <w:rPr>
      <w:rFonts w:ascii="Calibri" w:hAnsi="Calibri"/>
      <w:sz w:val="22"/>
    </w:rPr>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bl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styleId="116">
    <w:name w:val="Light List Accent 5"/>
    <w:basedOn w:val="88"/>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Horz">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style>
  <w:style w:type="table" w:styleId="117">
    <w:name w:val="Light Grid Accent 5"/>
    <w:basedOn w:val="88"/>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ascii="Cambria" w:hAnsi="Cambria" w:eastAsia="宋体" w:cs="Times New Roman"/>
        <w:b/>
        <w:bCs/>
      </w:rPr>
      <w:tblPr/>
      <w:tcPr>
        <w:tcBorders>
          <w:top w:val="single" w:color="4BACC6" w:sz="8" w:space="0"/>
          <w:left w:val="single" w:color="4BACC6" w:sz="8" w:space="0"/>
          <w:bottom w:val="single" w:color="4BACC6" w:sz="18" w:space="0"/>
          <w:right w:val="single" w:color="4BACC6" w:sz="8" w:space="0"/>
          <w:insideH w:val="nil"/>
          <w:insideV w:val="nil"/>
          <w:tl2br w:val="nil"/>
          <w:tr2bl w:val="nil"/>
        </w:tcBorders>
      </w:tcPr>
    </w:tblStylePr>
    <w:tblStylePr w:type="lastRow">
      <w:pPr>
        <w:spacing w:before="0" w:after="0" w:line="240" w:lineRule="auto"/>
      </w:pPr>
      <w:rPr>
        <w:rFonts w:ascii="Cambria" w:hAnsi="Cambria" w:eastAsia="宋体" w:cs="Times New Roman"/>
        <w:b/>
        <w:bCs/>
      </w:rPr>
      <w:tblPr/>
      <w:tcPr>
        <w:tcBorders>
          <w:top w:val="double" w:color="4BACC6" w:sz="6" w:space="0"/>
          <w:left w:val="single" w:color="4BACC6" w:sz="8" w:space="0"/>
          <w:bottom w:val="single" w:color="4BACC6" w:sz="8" w:space="0"/>
          <w:right w:val="single" w:color="4BACC6" w:sz="8" w:space="0"/>
          <w:insideH w:val="nil"/>
          <w:insideV w:val="nil"/>
          <w:tl2br w:val="nil"/>
          <w:tr2bl w:val="nil"/>
        </w:tcBorders>
      </w:tcPr>
    </w:tblStylePr>
    <w:tblStylePr w:type="firstCol">
      <w:rPr>
        <w:rFonts w:ascii="Cambria" w:hAnsi="Cambria" w:eastAsia="宋体" w:cs="Times New Roman"/>
        <w:b/>
        <w:bCs/>
      </w:rPr>
    </w:tblStylePr>
    <w:tblStylePr w:type="lastCol">
      <w:rPr>
        <w:rFonts w:ascii="Cambria" w:hAnsi="Cambria"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style>
  <w:style w:type="table" w:styleId="118">
    <w:name w:val="Medium Shading 2 Accent 5"/>
    <w:basedOn w:val="88"/>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l2br w:val="nil"/>
          <w:tr2bl w:val="nil"/>
        </w:tcBorders>
      </w:tcPr>
    </w:tblStylePr>
    <w:tblStylePr w:type="nwCell">
      <w:rPr>
        <w:color w:val="FFFFFF"/>
      </w:rPr>
      <w:tblPr/>
      <w:tcPr>
        <w:tcBorders>
          <w:top w:val="single" w:color="auto" w:sz="18" w:space="0"/>
          <w:left w:val="nil"/>
          <w:bottom w:val="single" w:color="auto" w:sz="18" w:space="0"/>
          <w:right w:val="nil"/>
          <w:insideH w:val="nil"/>
          <w:insideV w:val="nil"/>
          <w:tl2br w:val="nil"/>
          <w:tr2bl w:val="nil"/>
        </w:tcBorders>
      </w:tcPr>
    </w:tblStylePr>
  </w:style>
  <w:style w:type="table" w:styleId="119">
    <w:name w:val="Medium Grid 2 Accent 1"/>
    <w:basedOn w:val="88"/>
    <w:qFormat/>
    <w:uiPriority w:val="68"/>
    <w:rPr>
      <w:rFonts w:ascii="Cambria" w:hAnsi="Cambria"/>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shd w:val="clear" w:color="auto" w:fill="A7BFDE"/>
      </w:tcPr>
    </w:tblStylePr>
    <w:tblStylePr w:type="nwCell">
      <w:tblPr/>
      <w:tcPr>
        <w:shd w:val="clear" w:color="auto" w:fill="FFFFFF"/>
      </w:tcPr>
    </w:tblStylePr>
  </w:style>
  <w:style w:type="table" w:styleId="120">
    <w:name w:val="Medium Grid 3 Accent 1"/>
    <w:basedOn w:val="88"/>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nil"/>
          <w:tl2br w:val="nil"/>
          <w:tr2bl w:val="nil"/>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nil"/>
          <w:tl2br w:val="nil"/>
          <w:tr2bl w:val="nil"/>
        </w:tcBorders>
        <w:shd w:val="clear" w:color="auto" w:fill="4F81BD"/>
      </w:tcPr>
    </w:tblStylePr>
    <w:tblStylePr w:type="firstCol">
      <w:rPr>
        <w:b/>
        <w:bCs/>
        <w:i w:val="0"/>
        <w:iCs w:val="0"/>
        <w:color w:val="FFFFFF"/>
      </w:rPr>
      <w:tblPr/>
      <w:tcPr>
        <w:tcBorders>
          <w:top w:val="nil"/>
          <w:left w:val="single" w:color="FFFFFF" w:sz="8" w:space="0"/>
          <w:bottom w:val="nil"/>
          <w:right w:val="single" w:color="FFFFFF" w:sz="24" w:space="0"/>
          <w:insideH w:val="nil"/>
          <w:insideV w:val="nil"/>
          <w:tl2br w:val="nil"/>
          <w:tr2bl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l2br w:val="nil"/>
          <w:tr2bl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7BFDE"/>
      </w:tcPr>
    </w:tblStylePr>
  </w:style>
  <w:style w:type="table" w:styleId="121">
    <w:name w:val="Colorful Grid Accent 1"/>
    <w:basedOn w:val="88"/>
    <w:qFormat/>
    <w:uiPriority w:val="0"/>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123">
    <w:name w:val="Strong"/>
    <w:qFormat/>
    <w:uiPriority w:val="0"/>
    <w:rPr>
      <w:b/>
      <w:bCs/>
    </w:rPr>
  </w:style>
  <w:style w:type="character" w:styleId="124">
    <w:name w:val="endnote reference"/>
    <w:qFormat/>
    <w:uiPriority w:val="0"/>
    <w:rPr>
      <w:vertAlign w:val="superscript"/>
    </w:rPr>
  </w:style>
  <w:style w:type="character" w:styleId="125">
    <w:name w:val="page number"/>
    <w:basedOn w:val="122"/>
    <w:qFormat/>
    <w:uiPriority w:val="0"/>
  </w:style>
  <w:style w:type="character" w:styleId="126">
    <w:name w:val="FollowedHyperlink"/>
    <w:basedOn w:val="122"/>
    <w:unhideWhenUsed/>
    <w:qFormat/>
    <w:uiPriority w:val="99"/>
    <w:rPr>
      <w:color w:val="800080" w:themeColor="followedHyperlink"/>
      <w:u w:val="single"/>
      <w14:textFill>
        <w14:solidFill>
          <w14:schemeClr w14:val="folHlink"/>
        </w14:solidFill>
      </w14:textFill>
    </w:rPr>
  </w:style>
  <w:style w:type="character" w:styleId="127">
    <w:name w:val="Emphasis"/>
    <w:qFormat/>
    <w:uiPriority w:val="0"/>
    <w:rPr>
      <w:color w:val="CC0000"/>
    </w:rPr>
  </w:style>
  <w:style w:type="character" w:styleId="128">
    <w:name w:val="line number"/>
    <w:qFormat/>
    <w:uiPriority w:val="0"/>
  </w:style>
  <w:style w:type="character" w:styleId="129">
    <w:name w:val="HTML Definition"/>
    <w:qFormat/>
    <w:uiPriority w:val="0"/>
    <w:rPr>
      <w:i/>
      <w:iCs/>
    </w:rPr>
  </w:style>
  <w:style w:type="character" w:styleId="130">
    <w:name w:val="HTML Typewriter"/>
    <w:qFormat/>
    <w:uiPriority w:val="0"/>
    <w:rPr>
      <w:rFonts w:ascii="宋体" w:hAnsi="宋体" w:eastAsia="宋体" w:cs="宋体"/>
      <w:sz w:val="24"/>
      <w:szCs w:val="24"/>
    </w:rPr>
  </w:style>
  <w:style w:type="character" w:styleId="131">
    <w:name w:val="HTML Acronym"/>
    <w:qFormat/>
    <w:uiPriority w:val="0"/>
  </w:style>
  <w:style w:type="character" w:styleId="132">
    <w:name w:val="HTML Variable"/>
    <w:qFormat/>
    <w:uiPriority w:val="0"/>
    <w:rPr>
      <w:i/>
      <w:iCs/>
    </w:rPr>
  </w:style>
  <w:style w:type="character" w:styleId="133">
    <w:name w:val="Hyperlink"/>
    <w:qFormat/>
    <w:uiPriority w:val="99"/>
    <w:rPr>
      <w:color w:val="0000FF"/>
      <w:u w:val="single"/>
    </w:rPr>
  </w:style>
  <w:style w:type="character" w:styleId="134">
    <w:name w:val="HTML Code"/>
    <w:qFormat/>
    <w:uiPriority w:val="0"/>
    <w:rPr>
      <w:rFonts w:ascii="Courier New" w:hAnsi="Courier New" w:cs="Courier New"/>
      <w:sz w:val="20"/>
      <w:szCs w:val="20"/>
    </w:rPr>
  </w:style>
  <w:style w:type="character" w:styleId="135">
    <w:name w:val="annotation reference"/>
    <w:qFormat/>
    <w:uiPriority w:val="99"/>
    <w:rPr>
      <w:sz w:val="21"/>
      <w:szCs w:val="21"/>
    </w:rPr>
  </w:style>
  <w:style w:type="character" w:styleId="136">
    <w:name w:val="HTML Cite"/>
    <w:qFormat/>
    <w:uiPriority w:val="0"/>
    <w:rPr>
      <w:rFonts w:cs="Times New Roman"/>
      <w:i/>
      <w:iCs/>
    </w:rPr>
  </w:style>
  <w:style w:type="character" w:styleId="137">
    <w:name w:val="footnote reference"/>
    <w:qFormat/>
    <w:uiPriority w:val="0"/>
    <w:rPr>
      <w:vertAlign w:val="superscript"/>
    </w:rPr>
  </w:style>
  <w:style w:type="character" w:styleId="138">
    <w:name w:val="HTML Keyboard"/>
    <w:qFormat/>
    <w:uiPriority w:val="0"/>
    <w:rPr>
      <w:rFonts w:ascii="Courier New" w:hAnsi="Courier New" w:cs="Courier New"/>
      <w:sz w:val="20"/>
      <w:szCs w:val="20"/>
    </w:rPr>
  </w:style>
  <w:style w:type="character" w:styleId="139">
    <w:name w:val="HTML Sample"/>
    <w:qFormat/>
    <w:uiPriority w:val="0"/>
    <w:rPr>
      <w:rFonts w:ascii="Courier New" w:hAnsi="Courier New" w:cs="Courier New"/>
    </w:rPr>
  </w:style>
  <w:style w:type="character" w:customStyle="1" w:styleId="140">
    <w:name w:val="标题 2 字符2"/>
    <w:link w:val="4"/>
    <w:qFormat/>
    <w:uiPriority w:val="99"/>
    <w:rPr>
      <w:rFonts w:eastAsia="仿宋"/>
      <w:b/>
      <w:bCs/>
      <w:kern w:val="2"/>
      <w:sz w:val="36"/>
      <w:szCs w:val="28"/>
    </w:rPr>
  </w:style>
  <w:style w:type="character" w:customStyle="1" w:styleId="141">
    <w:name w:val="标题 3 字符"/>
    <w:link w:val="6"/>
    <w:qFormat/>
    <w:uiPriority w:val="99"/>
    <w:rPr>
      <w:rFonts w:eastAsia="仿宋"/>
      <w:b/>
      <w:bCs/>
      <w:kern w:val="2"/>
      <w:sz w:val="30"/>
      <w:szCs w:val="30"/>
      <w:lang w:val="zh-CN"/>
    </w:rPr>
  </w:style>
  <w:style w:type="paragraph" w:customStyle="1" w:styleId="142">
    <w:name w:val="样式 首行缩进:  2 字符"/>
    <w:basedOn w:val="1"/>
    <w:link w:val="144"/>
    <w:qFormat/>
    <w:uiPriority w:val="0"/>
    <w:pPr>
      <w:spacing w:before="120" w:beforeLines="50" w:after="120" w:afterLines="50"/>
      <w:ind w:firstLine="560" w:firstLineChars="200"/>
    </w:pPr>
    <w:rPr>
      <w:color w:val="FF0000"/>
      <w:szCs w:val="20"/>
      <w:lang w:val="zh-CN"/>
    </w:rPr>
  </w:style>
  <w:style w:type="paragraph" w:customStyle="1" w:styleId="143">
    <w:name w:val="表格文字图表文字  ctrl+q"/>
    <w:basedOn w:val="1"/>
    <w:autoRedefine/>
    <w:qFormat/>
    <w:uiPriority w:val="0"/>
    <w:pPr>
      <w:snapToGrid w:val="0"/>
      <w:spacing w:before="20" w:after="20" w:line="240" w:lineRule="auto"/>
      <w:jc w:val="center"/>
    </w:pPr>
    <w:rPr>
      <w:rFonts w:cs="宋体"/>
      <w:sz w:val="24"/>
      <w:szCs w:val="20"/>
    </w:rPr>
  </w:style>
  <w:style w:type="character" w:customStyle="1" w:styleId="144">
    <w:name w:val="样式 首行缩进:  2 字符 Char1"/>
    <w:link w:val="142"/>
    <w:qFormat/>
    <w:uiPriority w:val="0"/>
    <w:rPr>
      <w:rFonts w:eastAsia="仿宋"/>
      <w:color w:val="FF0000"/>
      <w:kern w:val="2"/>
      <w:sz w:val="28"/>
      <w:lang w:val="zh-CN" w:eastAsia="zh-CN"/>
    </w:rPr>
  </w:style>
  <w:style w:type="character" w:customStyle="1" w:styleId="145">
    <w:name w:val="标题 5 字符"/>
    <w:link w:val="8"/>
    <w:qFormat/>
    <w:uiPriority w:val="99"/>
    <w:rPr>
      <w:rFonts w:ascii="仿宋" w:hAnsi="仿宋" w:eastAsia="仿宋"/>
      <w:bCs/>
      <w:kern w:val="2"/>
      <w:sz w:val="28"/>
      <w:szCs w:val="28"/>
      <w:lang w:val="zh-CN"/>
    </w:rPr>
  </w:style>
  <w:style w:type="character" w:customStyle="1" w:styleId="146">
    <w:name w:val="标题 6 字符"/>
    <w:link w:val="9"/>
    <w:qFormat/>
    <w:uiPriority w:val="9"/>
    <w:rPr>
      <w:rFonts w:eastAsia="仿宋"/>
      <w:bCs/>
      <w:kern w:val="2"/>
      <w:sz w:val="28"/>
      <w:szCs w:val="24"/>
      <w:lang w:val="zh-CN"/>
    </w:rPr>
  </w:style>
  <w:style w:type="character" w:customStyle="1" w:styleId="147">
    <w:name w:val="标题 7 字符"/>
    <w:link w:val="10"/>
    <w:qFormat/>
    <w:uiPriority w:val="9"/>
    <w:rPr>
      <w:rFonts w:eastAsia="仿宋"/>
      <w:bCs/>
      <w:kern w:val="2"/>
      <w:sz w:val="28"/>
      <w:szCs w:val="24"/>
      <w:lang w:val="zh-CN"/>
    </w:rPr>
  </w:style>
  <w:style w:type="paragraph" w:customStyle="1" w:styleId="148">
    <w:name w:val="表格文字"/>
    <w:basedOn w:val="143"/>
    <w:link w:val="541"/>
    <w:autoRedefine/>
    <w:qFormat/>
    <w:uiPriority w:val="0"/>
  </w:style>
  <w:style w:type="character" w:customStyle="1" w:styleId="149">
    <w:name w:val="标题 字符"/>
    <w:link w:val="84"/>
    <w:qFormat/>
    <w:uiPriority w:val="0"/>
    <w:rPr>
      <w:rFonts w:ascii="Cambria" w:hAnsi="Cambria" w:eastAsia="仿宋"/>
      <w:b/>
      <w:bCs/>
      <w:kern w:val="2"/>
      <w:sz w:val="36"/>
      <w:szCs w:val="32"/>
      <w:lang w:val="zh-CN"/>
    </w:rPr>
  </w:style>
  <w:style w:type="paragraph" w:customStyle="1" w:styleId="150">
    <w:name w:val="样式 表格文字图表文字  ctrl+b"/>
    <w:basedOn w:val="143"/>
    <w:autoRedefine/>
    <w:qFormat/>
    <w:uiPriority w:val="0"/>
    <w:pPr>
      <w:jc w:val="left"/>
    </w:pPr>
  </w:style>
  <w:style w:type="paragraph" w:styleId="151">
    <w:name w:val="List Paragraph"/>
    <w:basedOn w:val="1"/>
    <w:link w:val="201"/>
    <w:qFormat/>
    <w:uiPriority w:val="34"/>
    <w:pPr>
      <w:spacing w:line="240" w:lineRule="auto"/>
      <w:ind w:firstLine="420" w:firstLineChars="200"/>
    </w:pPr>
    <w:rPr>
      <w:sz w:val="21"/>
      <w:szCs w:val="20"/>
    </w:rPr>
  </w:style>
  <w:style w:type="character" w:customStyle="1" w:styleId="152">
    <w:name w:val="已访问的超链接1"/>
    <w:qFormat/>
    <w:uiPriority w:val="99"/>
    <w:rPr>
      <w:color w:val="800080"/>
      <w:u w:val="single"/>
    </w:rPr>
  </w:style>
  <w:style w:type="character" w:customStyle="1" w:styleId="153">
    <w:name w:val="正文文本 字符"/>
    <w:link w:val="34"/>
    <w:qFormat/>
    <w:uiPriority w:val="99"/>
    <w:rPr>
      <w:kern w:val="2"/>
      <w:sz w:val="24"/>
      <w:szCs w:val="24"/>
      <w:lang w:val="zh-CN" w:eastAsia="zh-CN"/>
    </w:rPr>
  </w:style>
  <w:style w:type="character" w:customStyle="1" w:styleId="154">
    <w:name w:val="正文文本首行缩进 字符"/>
    <w:link w:val="86"/>
    <w:qFormat/>
    <w:uiPriority w:val="99"/>
    <w:rPr>
      <w:kern w:val="2"/>
      <w:sz w:val="28"/>
      <w:szCs w:val="24"/>
      <w:lang w:val="zh-CN" w:eastAsia="zh-CN"/>
    </w:rPr>
  </w:style>
  <w:style w:type="paragraph" w:customStyle="1" w:styleId="155">
    <w:name w:val="TOC 标题1"/>
    <w:basedOn w:val="3"/>
    <w:next w:val="1"/>
    <w:unhideWhenUsed/>
    <w:qFormat/>
    <w:uiPriority w:val="39"/>
    <w:pPr>
      <w:keepNext/>
      <w:keepLines/>
      <w:widowControl/>
      <w:numPr>
        <w:numId w:val="0"/>
      </w:numPr>
      <w:spacing w:before="480" w:after="0" w:line="276" w:lineRule="auto"/>
      <w:outlineLvl w:val="9"/>
    </w:pPr>
    <w:rPr>
      <w:rFonts w:ascii="Cambria" w:hAnsi="Cambria" w:eastAsia="宋体"/>
      <w:b w:val="0"/>
      <w:color w:val="365F91"/>
      <w:kern w:val="0"/>
      <w:sz w:val="28"/>
      <w:szCs w:val="28"/>
    </w:rPr>
  </w:style>
  <w:style w:type="paragraph" w:customStyle="1" w:styleId="156">
    <w:name w:val="修订1"/>
    <w:hidden/>
    <w:semiHidden/>
    <w:qFormat/>
    <w:uiPriority w:val="99"/>
    <w:rPr>
      <w:rFonts w:ascii="Times New Roman" w:hAnsi="Times New Roman" w:eastAsia="宋体" w:cs="Times New Roman"/>
      <w:kern w:val="2"/>
      <w:sz w:val="24"/>
      <w:szCs w:val="24"/>
      <w:lang w:val="en-US" w:eastAsia="zh-CN" w:bidi="ar-SA"/>
    </w:rPr>
  </w:style>
  <w:style w:type="character" w:customStyle="1" w:styleId="157">
    <w:name w:val="正文文本缩进 字符"/>
    <w:link w:val="35"/>
    <w:qFormat/>
    <w:uiPriority w:val="0"/>
    <w:rPr>
      <w:kern w:val="2"/>
      <w:sz w:val="24"/>
      <w:szCs w:val="24"/>
      <w:lang w:val="zh-CN" w:eastAsia="zh-CN"/>
    </w:rPr>
  </w:style>
  <w:style w:type="character" w:customStyle="1" w:styleId="158">
    <w:name w:val="正文文本缩进 3 字符"/>
    <w:link w:val="70"/>
    <w:qFormat/>
    <w:uiPriority w:val="99"/>
    <w:rPr>
      <w:kern w:val="2"/>
      <w:sz w:val="16"/>
      <w:lang w:val="zh-CN" w:eastAsia="zh-CN"/>
    </w:rPr>
  </w:style>
  <w:style w:type="character" w:customStyle="1" w:styleId="159">
    <w:name w:val="日期 字符"/>
    <w:link w:val="50"/>
    <w:qFormat/>
    <w:uiPriority w:val="99"/>
    <w:rPr>
      <w:rFonts w:ascii="宋体"/>
      <w:sz w:val="28"/>
      <w:lang w:val="zh-CN" w:eastAsia="zh-CN"/>
    </w:rPr>
  </w:style>
  <w:style w:type="character" w:customStyle="1" w:styleId="160">
    <w:name w:val="正文文本 2 字符"/>
    <w:link w:val="76"/>
    <w:qFormat/>
    <w:uiPriority w:val="99"/>
    <w:rPr>
      <w:kern w:val="2"/>
      <w:sz w:val="21"/>
      <w:lang w:val="zh-CN" w:eastAsia="zh-CN"/>
    </w:rPr>
  </w:style>
  <w:style w:type="character" w:customStyle="1" w:styleId="161">
    <w:name w:val="称呼 字符"/>
    <w:link w:val="30"/>
    <w:qFormat/>
    <w:uiPriority w:val="99"/>
    <w:rPr>
      <w:rFonts w:ascii="宋体" w:hAnsi="Arial"/>
      <w:sz w:val="24"/>
      <w:lang w:val="zh-CN" w:eastAsia="zh-CN"/>
    </w:rPr>
  </w:style>
  <w:style w:type="character" w:customStyle="1" w:styleId="162">
    <w:name w:val="纯文本 字符"/>
    <w:link w:val="45"/>
    <w:qFormat/>
    <w:uiPriority w:val="99"/>
    <w:rPr>
      <w:rFonts w:ascii="宋体" w:hAnsi="Courier New"/>
      <w:kern w:val="2"/>
      <w:sz w:val="21"/>
      <w:lang w:val="zh-CN" w:eastAsia="zh-CN"/>
    </w:rPr>
  </w:style>
  <w:style w:type="character" w:customStyle="1" w:styleId="163">
    <w:name w:val="正文文本缩进 2 字符"/>
    <w:link w:val="51"/>
    <w:qFormat/>
    <w:uiPriority w:val="0"/>
    <w:rPr>
      <w:kern w:val="2"/>
      <w:sz w:val="21"/>
      <w:lang w:val="zh-CN" w:eastAsia="zh-CN"/>
    </w:rPr>
  </w:style>
  <w:style w:type="character" w:customStyle="1" w:styleId="164">
    <w:name w:val="信息标题 字符"/>
    <w:link w:val="79"/>
    <w:qFormat/>
    <w:uiPriority w:val="0"/>
    <w:rPr>
      <w:rFonts w:ascii="Arial" w:hAnsi="Arial"/>
      <w:kern w:val="2"/>
      <w:sz w:val="24"/>
      <w:szCs w:val="24"/>
      <w:shd w:val="pct20" w:color="auto" w:fill="auto"/>
      <w:lang w:val="zh-CN" w:eastAsia="zh-CN"/>
    </w:rPr>
  </w:style>
  <w:style w:type="character" w:customStyle="1" w:styleId="165">
    <w:name w:val="明显强调1"/>
    <w:qFormat/>
    <w:uiPriority w:val="21"/>
    <w:rPr>
      <w:b/>
      <w:bCs/>
      <w:caps/>
      <w:color w:val="27405E"/>
      <w:spacing w:val="10"/>
    </w:rPr>
  </w:style>
  <w:style w:type="character" w:customStyle="1" w:styleId="166">
    <w:name w:val="签名 字符"/>
    <w:link w:val="58"/>
    <w:qFormat/>
    <w:uiPriority w:val="99"/>
    <w:rPr>
      <w:sz w:val="24"/>
      <w:szCs w:val="24"/>
      <w:lang w:val="zh-CN" w:eastAsia="zh-CN"/>
    </w:rPr>
  </w:style>
  <w:style w:type="character" w:customStyle="1" w:styleId="167">
    <w:name w:val="正文文本 3 字符"/>
    <w:link w:val="31"/>
    <w:qFormat/>
    <w:uiPriority w:val="99"/>
    <w:rPr>
      <w:rFonts w:ascii="Plotter" w:hAnsi="Plotter"/>
      <w:bCs/>
      <w:color w:val="0000FF"/>
      <w:kern w:val="6"/>
      <w:sz w:val="18"/>
      <w:szCs w:val="21"/>
      <w:lang w:val="zh-CN" w:eastAsia="zh-CN"/>
    </w:rPr>
  </w:style>
  <w:style w:type="character" w:customStyle="1" w:styleId="168">
    <w:name w:val="注释标题 字符"/>
    <w:basedOn w:val="122"/>
    <w:link w:val="17"/>
    <w:qFormat/>
    <w:uiPriority w:val="0"/>
  </w:style>
  <w:style w:type="character" w:customStyle="1" w:styleId="169">
    <w:name w:val="电子邮件签名 字符"/>
    <w:basedOn w:val="122"/>
    <w:link w:val="20"/>
    <w:qFormat/>
    <w:uiPriority w:val="0"/>
  </w:style>
  <w:style w:type="character" w:customStyle="1" w:styleId="170">
    <w:name w:val="结束语 字符"/>
    <w:basedOn w:val="122"/>
    <w:link w:val="32"/>
    <w:qFormat/>
    <w:uiPriority w:val="0"/>
  </w:style>
  <w:style w:type="character" w:customStyle="1" w:styleId="171">
    <w:name w:val="HTML 地址 字符"/>
    <w:link w:val="41"/>
    <w:qFormat/>
    <w:uiPriority w:val="0"/>
    <w:rPr>
      <w:i/>
      <w:iCs/>
      <w:lang w:val="zh-CN" w:eastAsia="zh-CN"/>
    </w:rPr>
  </w:style>
  <w:style w:type="character" w:customStyle="1" w:styleId="172">
    <w:name w:val="正文文本首行缩进 2 字符"/>
    <w:link w:val="87"/>
    <w:qFormat/>
    <w:uiPriority w:val="99"/>
    <w:rPr>
      <w:kern w:val="2"/>
      <w:sz w:val="28"/>
      <w:szCs w:val="24"/>
      <w:lang w:val="zh-CN" w:eastAsia="zh-CN"/>
    </w:rPr>
  </w:style>
  <w:style w:type="character" w:customStyle="1" w:styleId="173">
    <w:name w:val="副标题 字符"/>
    <w:link w:val="64"/>
    <w:qFormat/>
    <w:uiPriority w:val="0"/>
    <w:rPr>
      <w:rFonts w:ascii="Arial" w:hAnsi="Arial"/>
      <w:b/>
      <w:bCs/>
      <w:kern w:val="28"/>
      <w:sz w:val="32"/>
      <w:szCs w:val="32"/>
      <w:lang w:val="zh-CN" w:eastAsia="zh-CN"/>
    </w:rPr>
  </w:style>
  <w:style w:type="character" w:customStyle="1" w:styleId="174">
    <w:name w:val="HTML 预设格式 字符"/>
    <w:link w:val="80"/>
    <w:qFormat/>
    <w:uiPriority w:val="99"/>
    <w:rPr>
      <w:rFonts w:ascii="Courier New" w:hAnsi="Courier New"/>
      <w:lang w:val="zh-CN" w:eastAsia="zh-CN"/>
    </w:rPr>
  </w:style>
  <w:style w:type="paragraph" w:styleId="175">
    <w:name w:val="No Spacing"/>
    <w:autoRedefine/>
    <w:qFormat/>
    <w:uiPriority w:val="1"/>
    <w:pPr>
      <w:widowControl w:val="0"/>
      <w:jc w:val="center"/>
    </w:pPr>
    <w:rPr>
      <w:rFonts w:ascii="Times New Roman" w:hAnsi="Times New Roman" w:eastAsia="宋体" w:cs="Times New Roman"/>
      <w:kern w:val="2"/>
      <w:sz w:val="24"/>
      <w:szCs w:val="24"/>
      <w:lang w:val="en-US" w:eastAsia="zh-CN" w:bidi="ar-SA"/>
    </w:rPr>
  </w:style>
  <w:style w:type="character" w:customStyle="1" w:styleId="176">
    <w:name w:val="不明显强调1"/>
    <w:qFormat/>
    <w:uiPriority w:val="19"/>
    <w:rPr>
      <w:i/>
      <w:iCs/>
      <w:color w:val="808080"/>
    </w:rPr>
  </w:style>
  <w:style w:type="paragraph" w:styleId="177">
    <w:name w:val="Quote"/>
    <w:basedOn w:val="1"/>
    <w:next w:val="1"/>
    <w:link w:val="178"/>
    <w:qFormat/>
    <w:uiPriority w:val="0"/>
    <w:pPr>
      <w:spacing w:line="360" w:lineRule="auto"/>
      <w:ind w:firstLine="200" w:firstLineChars="200"/>
    </w:pPr>
    <w:rPr>
      <w:rFonts w:ascii="ˎ̥" w:hAnsi="ˎ̥"/>
      <w:i/>
      <w:iCs/>
      <w:color w:val="000000"/>
      <w:szCs w:val="21"/>
      <w:lang w:val="zh-CN"/>
    </w:rPr>
  </w:style>
  <w:style w:type="character" w:customStyle="1" w:styleId="178">
    <w:name w:val="引用 字符"/>
    <w:link w:val="177"/>
    <w:qFormat/>
    <w:uiPriority w:val="0"/>
    <w:rPr>
      <w:rFonts w:ascii="ˎ̥" w:hAnsi="ˎ̥" w:cs="宋体"/>
      <w:i/>
      <w:iCs/>
      <w:color w:val="000000"/>
      <w:kern w:val="2"/>
      <w:sz w:val="24"/>
      <w:szCs w:val="21"/>
    </w:rPr>
  </w:style>
  <w:style w:type="paragraph" w:styleId="179">
    <w:name w:val="Intense Quote"/>
    <w:basedOn w:val="1"/>
    <w:next w:val="1"/>
    <w:link w:val="180"/>
    <w:qFormat/>
    <w:uiPriority w:val="30"/>
    <w:pPr>
      <w:pBdr>
        <w:bottom w:val="single" w:color="4F81BD" w:sz="4" w:space="4"/>
      </w:pBdr>
      <w:spacing w:before="200" w:after="280"/>
      <w:ind w:left="936" w:right="936" w:firstLine="200" w:firstLineChars="200"/>
    </w:pPr>
    <w:rPr>
      <w:b/>
      <w:bCs/>
      <w:i/>
      <w:iCs/>
      <w:color w:val="4F81BD"/>
      <w:szCs w:val="20"/>
      <w:lang w:val="zh-CN"/>
    </w:rPr>
  </w:style>
  <w:style w:type="character" w:customStyle="1" w:styleId="180">
    <w:name w:val="明显引用 字符"/>
    <w:link w:val="179"/>
    <w:qFormat/>
    <w:uiPriority w:val="30"/>
    <w:rPr>
      <w:rFonts w:eastAsia="仿宋" w:cs="宋体"/>
      <w:b/>
      <w:bCs/>
      <w:i/>
      <w:iCs/>
      <w:color w:val="4F81BD"/>
      <w:kern w:val="2"/>
      <w:sz w:val="28"/>
    </w:rPr>
  </w:style>
  <w:style w:type="paragraph" w:customStyle="1" w:styleId="181">
    <w:name w:val="z-窗体底端1"/>
    <w:basedOn w:val="1"/>
    <w:next w:val="1"/>
    <w:link w:val="182"/>
    <w:qFormat/>
    <w:uiPriority w:val="0"/>
    <w:pPr>
      <w:pBdr>
        <w:top w:val="single" w:color="auto" w:sz="6" w:space="1"/>
      </w:pBdr>
      <w:spacing w:line="240" w:lineRule="auto"/>
      <w:jc w:val="center"/>
    </w:pPr>
    <w:rPr>
      <w:rFonts w:ascii="Arial" w:hAnsi="Arial"/>
      <w:vanish/>
      <w:spacing w:val="-20"/>
      <w:sz w:val="16"/>
      <w:szCs w:val="16"/>
      <w:lang w:val="zh-CN"/>
    </w:rPr>
  </w:style>
  <w:style w:type="character" w:customStyle="1" w:styleId="182">
    <w:name w:val="z-窗体底端 字符"/>
    <w:link w:val="181"/>
    <w:qFormat/>
    <w:uiPriority w:val="0"/>
    <w:rPr>
      <w:rFonts w:ascii="Arial" w:hAnsi="Arial" w:cs="Arial"/>
      <w:vanish/>
      <w:spacing w:val="-20"/>
      <w:kern w:val="2"/>
      <w:sz w:val="16"/>
      <w:szCs w:val="16"/>
    </w:rPr>
  </w:style>
  <w:style w:type="paragraph" w:customStyle="1" w:styleId="183">
    <w:name w:val="z-窗体顶端1"/>
    <w:basedOn w:val="1"/>
    <w:next w:val="1"/>
    <w:link w:val="184"/>
    <w:qFormat/>
    <w:uiPriority w:val="0"/>
    <w:pPr>
      <w:pBdr>
        <w:bottom w:val="single" w:color="auto" w:sz="6" w:space="1"/>
      </w:pBdr>
      <w:spacing w:line="240" w:lineRule="auto"/>
      <w:jc w:val="center"/>
    </w:pPr>
    <w:rPr>
      <w:rFonts w:ascii="Arial" w:hAnsi="Arial"/>
      <w:vanish/>
      <w:spacing w:val="-20"/>
      <w:sz w:val="16"/>
      <w:szCs w:val="16"/>
      <w:lang w:val="zh-CN"/>
    </w:rPr>
  </w:style>
  <w:style w:type="character" w:customStyle="1" w:styleId="184">
    <w:name w:val="z-窗体顶端 字符"/>
    <w:link w:val="183"/>
    <w:qFormat/>
    <w:uiPriority w:val="0"/>
    <w:rPr>
      <w:rFonts w:ascii="Arial" w:hAnsi="Arial" w:cs="Arial"/>
      <w:vanish/>
      <w:spacing w:val="-20"/>
      <w:kern w:val="2"/>
      <w:sz w:val="16"/>
      <w:szCs w:val="16"/>
    </w:rPr>
  </w:style>
  <w:style w:type="character" w:customStyle="1" w:styleId="185">
    <w:name w:val="不明显参考1"/>
    <w:qFormat/>
    <w:uiPriority w:val="31"/>
    <w:rPr>
      <w:smallCaps/>
      <w:color w:val="C0504D"/>
      <w:u w:val="single"/>
    </w:rPr>
  </w:style>
  <w:style w:type="paragraph" w:customStyle="1" w:styleId="186">
    <w:name w:val="已访问的超级链接"/>
    <w:qFormat/>
    <w:uiPriority w:val="0"/>
    <w:pPr>
      <w:widowControl w:val="0"/>
      <w:spacing w:line="480" w:lineRule="exact"/>
      <w:jc w:val="both"/>
    </w:pPr>
    <w:rPr>
      <w:rFonts w:ascii="Times New Roman" w:hAnsi="Times New Roman" w:eastAsia="宋体" w:cs="Times New Roman"/>
      <w:kern w:val="2"/>
      <w:sz w:val="24"/>
      <w:szCs w:val="24"/>
      <w:lang w:val="en-US" w:eastAsia="zh-CN" w:bidi="ar-SA"/>
    </w:rPr>
  </w:style>
  <w:style w:type="paragraph" w:customStyle="1" w:styleId="187">
    <w:name w:val="样式 样式 首行缩进:  2 字符 + 首行缩进:  2 字符 段前: 0.5 行 段后: 0.5 行"/>
    <w:basedOn w:val="142"/>
    <w:qFormat/>
    <w:uiPriority w:val="0"/>
    <w:pPr>
      <w:ind w:firstLine="480"/>
    </w:pPr>
    <w:rPr>
      <w:rFonts w:cs="宋体"/>
      <w:color w:val="auto"/>
    </w:rPr>
  </w:style>
  <w:style w:type="paragraph" w:customStyle="1" w:styleId="188">
    <w:name w:val="样式 首行缩进:  0.85 厘米"/>
    <w:basedOn w:val="1"/>
    <w:qFormat/>
    <w:uiPriority w:val="0"/>
    <w:pPr>
      <w:ind w:firstLine="480"/>
    </w:pPr>
    <w:rPr>
      <w:rFonts w:cs="宋体"/>
      <w:szCs w:val="20"/>
    </w:rPr>
  </w:style>
  <w:style w:type="table" w:customStyle="1" w:styleId="189">
    <w:name w:val="网格型2"/>
    <w:basedOn w:val="8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网格型4"/>
    <w:basedOn w:val="8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
    <w:name w:val="未处理的提及1"/>
    <w:basedOn w:val="122"/>
    <w:semiHidden/>
    <w:unhideWhenUsed/>
    <w:qFormat/>
    <w:uiPriority w:val="99"/>
    <w:rPr>
      <w:color w:val="605E5C"/>
      <w:shd w:val="clear" w:color="auto" w:fill="E1DFDD"/>
    </w:rPr>
  </w:style>
  <w:style w:type="character" w:customStyle="1" w:styleId="192">
    <w:name w:val="批注文字 字符"/>
    <w:basedOn w:val="122"/>
    <w:link w:val="28"/>
    <w:qFormat/>
    <w:uiPriority w:val="99"/>
    <w:rPr>
      <w:rFonts w:eastAsia="仿宋"/>
      <w:kern w:val="2"/>
      <w:sz w:val="28"/>
      <w:szCs w:val="24"/>
    </w:rPr>
  </w:style>
  <w:style w:type="character" w:customStyle="1" w:styleId="193">
    <w:name w:val="批注文字 字符3"/>
    <w:qFormat/>
    <w:uiPriority w:val="99"/>
    <w:rPr>
      <w:rFonts w:ascii="宋体" w:hAnsi="宋体"/>
      <w:bCs/>
      <w:spacing w:val="20"/>
      <w:kern w:val="2"/>
      <w:sz w:val="28"/>
      <w:szCs w:val="24"/>
    </w:rPr>
  </w:style>
  <w:style w:type="character" w:customStyle="1" w:styleId="194">
    <w:name w:val="应答文本 Char Char"/>
    <w:qFormat/>
    <w:uiPriority w:val="0"/>
    <w:rPr>
      <w:rFonts w:ascii="Arial" w:hAnsi="Arial" w:eastAsia="楷体_GB2312" w:cs="宋体"/>
      <w:spacing w:val="10"/>
      <w:kern w:val="2"/>
      <w:sz w:val="21"/>
      <w:szCs w:val="24"/>
      <w:lang w:val="en-US" w:eastAsia="zh-CN" w:bidi="ar-SA"/>
    </w:rPr>
  </w:style>
  <w:style w:type="character" w:customStyle="1" w:styleId="195">
    <w:name w:val="标题 3 Char Char Char Char Char Char Char Char Char Char Char Char Char Char Char Char Char Char Char Char Char Char Char Char Char Char Char Char Char Char Char Char Char Char Char Char Char Char Char Char Char Char Char Char Char Char Char Char Char Cha"/>
    <w:qFormat/>
    <w:uiPriority w:val="0"/>
    <w:rPr>
      <w:rFonts w:hAnsi="宋体" w:eastAsia="黑体"/>
      <w:kern w:val="2"/>
      <w:sz w:val="21"/>
      <w:lang w:val="en-US" w:eastAsia="zh-CN" w:bidi="ar-SA"/>
    </w:rPr>
  </w:style>
  <w:style w:type="character" w:customStyle="1" w:styleId="196">
    <w:name w:val="批注框文本 字符"/>
    <w:qFormat/>
    <w:uiPriority w:val="99"/>
    <w:rPr>
      <w:rFonts w:ascii="Times New Roman" w:hAnsi="Times New Roman" w:eastAsia="宋体" w:cs="Times New Roman"/>
      <w:sz w:val="18"/>
      <w:szCs w:val="18"/>
    </w:rPr>
  </w:style>
  <w:style w:type="character" w:customStyle="1" w:styleId="197">
    <w:name w:val="4级 Char"/>
    <w:link w:val="198"/>
    <w:qFormat/>
    <w:uiPriority w:val="0"/>
    <w:rPr>
      <w:rFonts w:ascii="宋体"/>
      <w:b/>
      <w:spacing w:val="10"/>
      <w:w w:val="95"/>
      <w:kern w:val="2"/>
      <w:sz w:val="24"/>
      <w:szCs w:val="24"/>
    </w:rPr>
  </w:style>
  <w:style w:type="paragraph" w:customStyle="1" w:styleId="198">
    <w:name w:val="4级"/>
    <w:basedOn w:val="199"/>
    <w:link w:val="197"/>
    <w:qFormat/>
    <w:uiPriority w:val="0"/>
    <w:pPr>
      <w:numPr>
        <w:ilvl w:val="0"/>
        <w:numId w:val="4"/>
      </w:numPr>
      <w:tabs>
        <w:tab w:val="left" w:pos="992"/>
      </w:tabs>
      <w:spacing w:before="0" w:after="0"/>
      <w:outlineLvl w:val="3"/>
    </w:pPr>
    <w:rPr>
      <w:sz w:val="24"/>
    </w:rPr>
  </w:style>
  <w:style w:type="paragraph" w:customStyle="1" w:styleId="199">
    <w:name w:val="招标文件1.1.1.1"/>
    <w:basedOn w:val="1"/>
    <w:link w:val="215"/>
    <w:qFormat/>
    <w:uiPriority w:val="0"/>
    <w:pPr>
      <w:numPr>
        <w:ilvl w:val="4"/>
        <w:numId w:val="5"/>
      </w:numPr>
      <w:spacing w:before="120" w:after="120"/>
      <w:jc w:val="left"/>
      <w:outlineLvl w:val="4"/>
    </w:pPr>
    <w:rPr>
      <w:rFonts w:ascii="宋体" w:eastAsia="宋体"/>
      <w:b/>
      <w:spacing w:val="10"/>
      <w:w w:val="95"/>
      <w:sz w:val="21"/>
    </w:rPr>
  </w:style>
  <w:style w:type="character" w:customStyle="1" w:styleId="200">
    <w:name w:val="标题 2 字符1"/>
    <w:qFormat/>
    <w:uiPriority w:val="0"/>
    <w:rPr>
      <w:rFonts w:ascii="宋体" w:hAnsi="宋体" w:eastAsia="宋体" w:cs="Times New Roman"/>
      <w:b/>
      <w:sz w:val="24"/>
      <w:szCs w:val="24"/>
    </w:rPr>
  </w:style>
  <w:style w:type="character" w:customStyle="1" w:styleId="201">
    <w:name w:val="列表段落 字符"/>
    <w:link w:val="151"/>
    <w:qFormat/>
    <w:locked/>
    <w:uiPriority w:val="0"/>
    <w:rPr>
      <w:rFonts w:eastAsia="仿宋"/>
      <w:kern w:val="2"/>
      <w:sz w:val="21"/>
    </w:rPr>
  </w:style>
  <w:style w:type="character" w:customStyle="1" w:styleId="202">
    <w:name w:val="段 Char"/>
    <w:link w:val="203"/>
    <w:qFormat/>
    <w:uiPriority w:val="99"/>
    <w:rPr>
      <w:rFonts w:ascii="宋体"/>
      <w:sz w:val="21"/>
      <w:lang w:val="en-US" w:eastAsia="zh-CN"/>
    </w:rPr>
  </w:style>
  <w:style w:type="paragraph" w:customStyle="1" w:styleId="203">
    <w:name w:val="段"/>
    <w:link w:val="202"/>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04">
    <w:name w:val="标书原文本 Char"/>
    <w:link w:val="205"/>
    <w:qFormat/>
    <w:uiPriority w:val="0"/>
    <w:rPr>
      <w:rFonts w:ascii="宋体" w:hAnsi="宋体" w:cs="宋体"/>
      <w:kern w:val="2"/>
      <w:sz w:val="21"/>
      <w:szCs w:val="21"/>
    </w:rPr>
  </w:style>
  <w:style w:type="paragraph" w:customStyle="1" w:styleId="205">
    <w:name w:val="标书原文本"/>
    <w:basedOn w:val="1"/>
    <w:link w:val="204"/>
    <w:qFormat/>
    <w:uiPriority w:val="0"/>
    <w:pPr>
      <w:spacing w:afterLines="50" w:line="320" w:lineRule="exact"/>
      <w:ind w:firstLine="407"/>
    </w:pPr>
    <w:rPr>
      <w:rFonts w:ascii="宋体" w:hAnsi="宋体" w:eastAsia="宋体" w:cs="宋体"/>
      <w:sz w:val="21"/>
      <w:szCs w:val="21"/>
    </w:rPr>
  </w:style>
  <w:style w:type="character" w:customStyle="1" w:styleId="206">
    <w:name w:val="标题 4 字符1"/>
    <w:qFormat/>
    <w:locked/>
    <w:uiPriority w:val="0"/>
    <w:rPr>
      <w:rFonts w:ascii="Arial" w:hAnsi="Arial" w:cs="Arial"/>
      <w:sz w:val="21"/>
      <w:szCs w:val="21"/>
    </w:rPr>
  </w:style>
  <w:style w:type="character" w:customStyle="1" w:styleId="207">
    <w:name w:val="Char Char12"/>
    <w:qFormat/>
    <w:uiPriority w:val="0"/>
    <w:rPr>
      <w:sz w:val="18"/>
      <w:szCs w:val="18"/>
    </w:rPr>
  </w:style>
  <w:style w:type="character" w:customStyle="1" w:styleId="208">
    <w:name w:val="样式 标题 2标题 2hy标题 1.1编号标题22 headlinehheadlineS&amp;R2ERMH2Ann... Char Char"/>
    <w:link w:val="209"/>
    <w:qFormat/>
    <w:uiPriority w:val="0"/>
    <w:rPr>
      <w:rFonts w:ascii="Arial" w:hAnsi="Arial" w:eastAsia="黑体"/>
      <w:b/>
      <w:bCs/>
      <w:color w:val="FF0000"/>
      <w:kern w:val="2"/>
      <w:sz w:val="32"/>
      <w:szCs w:val="32"/>
    </w:rPr>
  </w:style>
  <w:style w:type="paragraph" w:customStyle="1" w:styleId="209">
    <w:name w:val="样式 标题 2标题 2hy标题 1.1编号标题22 headlinehheadlineS&amp;R2ERMH2Ann..."/>
    <w:basedOn w:val="4"/>
    <w:next w:val="34"/>
    <w:link w:val="208"/>
    <w:qFormat/>
    <w:uiPriority w:val="0"/>
    <w:pPr>
      <w:keepNext/>
      <w:keepLines/>
      <w:numPr>
        <w:numId w:val="6"/>
      </w:numPr>
      <w:tabs>
        <w:tab w:val="left" w:pos="1440"/>
      </w:tabs>
      <w:snapToGrid w:val="0"/>
      <w:spacing w:before="0" w:after="0" w:line="360" w:lineRule="auto"/>
    </w:pPr>
    <w:rPr>
      <w:rFonts w:ascii="Arial" w:hAnsi="Arial" w:eastAsia="黑体"/>
      <w:color w:val="FF0000"/>
      <w:sz w:val="32"/>
      <w:szCs w:val="32"/>
    </w:rPr>
  </w:style>
  <w:style w:type="character" w:customStyle="1" w:styleId="210">
    <w:name w:val="标题 6 字符1"/>
    <w:qFormat/>
    <w:uiPriority w:val="0"/>
    <w:rPr>
      <w:bCs/>
      <w:snapToGrid w:val="0"/>
      <w:kern w:val="28"/>
      <w:sz w:val="28"/>
      <w:szCs w:val="28"/>
    </w:rPr>
  </w:style>
  <w:style w:type="character" w:customStyle="1" w:styleId="211">
    <w:name w:val="1 Char"/>
    <w:qFormat/>
    <w:uiPriority w:val="0"/>
    <w:rPr>
      <w:rFonts w:ascii="宋体" w:hAnsi="宋体" w:eastAsia="宋体"/>
      <w:b/>
      <w:bCs/>
      <w:sz w:val="28"/>
      <w:lang w:val="en-US" w:eastAsia="zh-CN" w:bidi="ar-SA"/>
    </w:rPr>
  </w:style>
  <w:style w:type="character" w:customStyle="1" w:styleId="212">
    <w:name w:val="标题 9 字符"/>
    <w:qFormat/>
    <w:uiPriority w:val="0"/>
    <w:rPr>
      <w:rFonts w:ascii="Arial" w:hAnsi="Arial" w:eastAsia="黑体" w:cs="Times New Roman"/>
      <w:szCs w:val="20"/>
    </w:rPr>
  </w:style>
  <w:style w:type="character" w:customStyle="1" w:styleId="213">
    <w:name w:val="55 Char Char"/>
    <w:qFormat/>
    <w:uiPriority w:val="0"/>
    <w:rPr>
      <w:rFonts w:eastAsia="宋体"/>
      <w:b/>
      <w:bCs/>
      <w:kern w:val="2"/>
      <w:sz w:val="28"/>
      <w:szCs w:val="28"/>
      <w:lang w:val="en-US" w:eastAsia="zh-CN" w:bidi="ar-SA"/>
    </w:rPr>
  </w:style>
  <w:style w:type="character" w:customStyle="1" w:styleId="214">
    <w:name w:val="文档结构图 字符"/>
    <w:link w:val="26"/>
    <w:qFormat/>
    <w:uiPriority w:val="0"/>
    <w:rPr>
      <w:rFonts w:eastAsia="仿宋"/>
      <w:kern w:val="2"/>
      <w:sz w:val="28"/>
      <w:szCs w:val="24"/>
      <w:shd w:val="clear" w:color="auto" w:fill="000080"/>
    </w:rPr>
  </w:style>
  <w:style w:type="character" w:customStyle="1" w:styleId="215">
    <w:name w:val="招标文件1.1.1.1 Char"/>
    <w:link w:val="199"/>
    <w:qFormat/>
    <w:uiPriority w:val="0"/>
    <w:rPr>
      <w:rFonts w:ascii="宋体"/>
      <w:b/>
      <w:spacing w:val="10"/>
      <w:w w:val="95"/>
      <w:kern w:val="2"/>
      <w:sz w:val="21"/>
      <w:szCs w:val="24"/>
    </w:rPr>
  </w:style>
  <w:style w:type="character" w:customStyle="1" w:styleId="216">
    <w:name w:val="eee"/>
    <w:basedOn w:val="122"/>
    <w:qFormat/>
    <w:uiPriority w:val="0"/>
  </w:style>
  <w:style w:type="character" w:customStyle="1" w:styleId="217">
    <w:name w:val="题注 字符"/>
    <w:link w:val="22"/>
    <w:qFormat/>
    <w:uiPriority w:val="0"/>
    <w:rPr>
      <w:rFonts w:ascii="Arial" w:hAnsi="Arial" w:eastAsia="黑体" w:cs="Arial"/>
      <w:kern w:val="2"/>
    </w:rPr>
  </w:style>
  <w:style w:type="character" w:customStyle="1" w:styleId="218">
    <w:name w:val="第三层条 字符"/>
    <w:link w:val="219"/>
    <w:qFormat/>
    <w:uiPriority w:val="0"/>
    <w:rPr>
      <w:rFonts w:ascii="宋体" w:hAnsi="宋体"/>
      <w:b/>
      <w:bCs/>
      <w:kern w:val="2"/>
      <w:sz w:val="24"/>
      <w:szCs w:val="21"/>
    </w:rPr>
  </w:style>
  <w:style w:type="paragraph" w:customStyle="1" w:styleId="219">
    <w:name w:val="第三层条"/>
    <w:basedOn w:val="7"/>
    <w:link w:val="218"/>
    <w:qFormat/>
    <w:uiPriority w:val="0"/>
    <w:pPr>
      <w:keepNext/>
      <w:keepLines/>
      <w:numPr>
        <w:ilvl w:val="0"/>
        <w:numId w:val="7"/>
      </w:numPr>
      <w:spacing w:line="360" w:lineRule="auto"/>
      <w:jc w:val="both"/>
    </w:pPr>
    <w:rPr>
      <w:rFonts w:ascii="宋体" w:hAnsi="宋体" w:eastAsia="宋体"/>
      <w:sz w:val="24"/>
      <w:szCs w:val="21"/>
    </w:rPr>
  </w:style>
  <w:style w:type="character" w:customStyle="1" w:styleId="220">
    <w:name w:val="Table Heading Char1"/>
    <w:link w:val="221"/>
    <w:qFormat/>
    <w:uiPriority w:val="0"/>
    <w:rPr>
      <w:rFonts w:ascii="Book Antiqua" w:hAnsi="Book Antiqua" w:eastAsia="黑体" w:cs="Book Antiqua"/>
      <w:bCs/>
      <w:sz w:val="21"/>
      <w:szCs w:val="21"/>
    </w:rPr>
  </w:style>
  <w:style w:type="paragraph" w:customStyle="1" w:styleId="221">
    <w:name w:val="Table Heading"/>
    <w:basedOn w:val="1"/>
    <w:link w:val="220"/>
    <w:qFormat/>
    <w:uiPriority w:val="0"/>
    <w:pPr>
      <w:keepNext/>
      <w:topLinePunct/>
      <w:adjustRightInd w:val="0"/>
      <w:snapToGrid w:val="0"/>
      <w:spacing w:before="80" w:after="80" w:line="240" w:lineRule="atLeast"/>
      <w:jc w:val="left"/>
    </w:pPr>
    <w:rPr>
      <w:rFonts w:ascii="Book Antiqua" w:hAnsi="Book Antiqua" w:eastAsia="黑体" w:cs="Book Antiqua"/>
      <w:bCs/>
      <w:kern w:val="0"/>
      <w:sz w:val="21"/>
      <w:szCs w:val="21"/>
    </w:rPr>
  </w:style>
  <w:style w:type="character" w:customStyle="1" w:styleId="222">
    <w:name w:val="标题 4 字符"/>
    <w:qFormat/>
    <w:uiPriority w:val="99"/>
    <w:rPr>
      <w:rFonts w:ascii="Arial" w:hAnsi="Arial" w:eastAsia="宋体" w:cs="Times New Roman"/>
      <w:bCs/>
      <w:szCs w:val="28"/>
    </w:rPr>
  </w:style>
  <w:style w:type="character" w:customStyle="1" w:styleId="223">
    <w:name w:val="标题 2 字符"/>
    <w:qFormat/>
    <w:uiPriority w:val="99"/>
    <w:rPr>
      <w:rFonts w:ascii="等线 Light" w:hAnsi="等线 Light" w:eastAsia="等线 Light" w:cs="Times New Roman"/>
      <w:b/>
      <w:bCs/>
      <w:sz w:val="32"/>
      <w:szCs w:val="32"/>
    </w:rPr>
  </w:style>
  <w:style w:type="character" w:customStyle="1" w:styleId="224">
    <w:name w:val="表格文字图表文字 Char"/>
    <w:link w:val="225"/>
    <w:qFormat/>
    <w:uiPriority w:val="0"/>
    <w:rPr>
      <w:rFonts w:cs="宋体"/>
      <w:kern w:val="2"/>
      <w:sz w:val="21"/>
      <w:szCs w:val="21"/>
    </w:rPr>
  </w:style>
  <w:style w:type="paragraph" w:customStyle="1" w:styleId="225">
    <w:name w:val="表格文字图表文字"/>
    <w:basedOn w:val="1"/>
    <w:link w:val="224"/>
    <w:qFormat/>
    <w:uiPriority w:val="0"/>
    <w:pPr>
      <w:adjustRightInd w:val="0"/>
      <w:snapToGrid w:val="0"/>
      <w:spacing w:line="240" w:lineRule="auto"/>
      <w:jc w:val="center"/>
    </w:pPr>
    <w:rPr>
      <w:rFonts w:eastAsia="宋体" w:cs="宋体"/>
      <w:sz w:val="21"/>
      <w:szCs w:val="21"/>
    </w:rPr>
  </w:style>
  <w:style w:type="character" w:customStyle="1" w:styleId="226">
    <w:name w:val="样式 样式 首行缩进:  2 字符 段前: 4.65 磅 + 首行缩进:  2 字符 Char"/>
    <w:link w:val="227"/>
    <w:qFormat/>
    <w:uiPriority w:val="0"/>
    <w:rPr>
      <w:kern w:val="2"/>
      <w:sz w:val="24"/>
    </w:rPr>
  </w:style>
  <w:style w:type="paragraph" w:customStyle="1" w:styleId="227">
    <w:name w:val="样式 样式 首行缩进:  2 字符 段前: 4.65 磅 + 首行缩进:  2 字符"/>
    <w:basedOn w:val="1"/>
    <w:link w:val="226"/>
    <w:qFormat/>
    <w:uiPriority w:val="0"/>
    <w:pPr>
      <w:topLinePunct/>
      <w:spacing w:before="93" w:line="360" w:lineRule="auto"/>
      <w:ind w:firstLine="480" w:firstLineChars="200"/>
    </w:pPr>
    <w:rPr>
      <w:rFonts w:eastAsia="宋体"/>
      <w:sz w:val="24"/>
      <w:szCs w:val="20"/>
    </w:rPr>
  </w:style>
  <w:style w:type="character" w:customStyle="1" w:styleId="228">
    <w:name w:val="标题 4 字符2"/>
    <w:link w:val="7"/>
    <w:qFormat/>
    <w:uiPriority w:val="99"/>
    <w:rPr>
      <w:rFonts w:eastAsia="仿宋"/>
      <w:b/>
      <w:bCs/>
      <w:kern w:val="2"/>
      <w:sz w:val="28"/>
      <w:szCs w:val="28"/>
    </w:rPr>
  </w:style>
  <w:style w:type="character" w:customStyle="1" w:styleId="229">
    <w:name w:val="Char Char1"/>
    <w:semiHidden/>
    <w:qFormat/>
    <w:uiPriority w:val="0"/>
    <w:rPr>
      <w:rFonts w:ascii="宋体" w:hAnsi="宋体"/>
      <w:bCs/>
      <w:spacing w:val="20"/>
      <w:kern w:val="2"/>
      <w:sz w:val="28"/>
      <w:szCs w:val="24"/>
    </w:rPr>
  </w:style>
  <w:style w:type="character" w:customStyle="1" w:styleId="230">
    <w:name w:val="页脚 字符1"/>
    <w:link w:val="55"/>
    <w:qFormat/>
    <w:uiPriority w:val="99"/>
    <w:rPr>
      <w:rFonts w:eastAsia="仿宋"/>
      <w:kern w:val="2"/>
      <w:sz w:val="18"/>
      <w:szCs w:val="18"/>
    </w:rPr>
  </w:style>
  <w:style w:type="character" w:customStyle="1" w:styleId="231">
    <w:name w:val="目录 1 Char"/>
    <w:qFormat/>
    <w:uiPriority w:val="0"/>
    <w:rPr>
      <w:rFonts w:ascii="Times New Roman" w:hAnsi="Times New Roman" w:eastAsia="黑体"/>
      <w:b/>
      <w:caps/>
      <w:sz w:val="32"/>
    </w:rPr>
  </w:style>
  <w:style w:type="character" w:customStyle="1" w:styleId="232">
    <w:name w:val="样式 样式 标题 1 + 五号 + (符号) 宋体 Char"/>
    <w:qFormat/>
    <w:uiPriority w:val="0"/>
    <w:rPr>
      <w:rFonts w:eastAsia="宋体"/>
      <w:b/>
      <w:bCs/>
      <w:kern w:val="44"/>
      <w:sz w:val="28"/>
      <w:szCs w:val="28"/>
      <w:lang w:val="en-US" w:eastAsia="zh-CN" w:bidi="ar-SA"/>
    </w:rPr>
  </w:style>
  <w:style w:type="character" w:customStyle="1" w:styleId="233">
    <w:name w:val="样式 标题 1 + 五号1 Char"/>
    <w:qFormat/>
    <w:uiPriority w:val="0"/>
    <w:rPr>
      <w:rFonts w:eastAsia="宋体"/>
      <w:b/>
      <w:bCs/>
      <w:kern w:val="44"/>
      <w:sz w:val="28"/>
      <w:szCs w:val="28"/>
      <w:lang w:val="en-US" w:eastAsia="zh-CN" w:bidi="ar-SA"/>
    </w:rPr>
  </w:style>
  <w:style w:type="character" w:customStyle="1" w:styleId="234">
    <w:name w:val="符号 Char"/>
    <w:link w:val="235"/>
    <w:qFormat/>
    <w:uiPriority w:val="0"/>
    <w:rPr>
      <w:kern w:val="2"/>
      <w:sz w:val="24"/>
      <w:szCs w:val="24"/>
    </w:rPr>
  </w:style>
  <w:style w:type="paragraph" w:customStyle="1" w:styleId="235">
    <w:name w:val="符号"/>
    <w:basedOn w:val="1"/>
    <w:link w:val="234"/>
    <w:qFormat/>
    <w:uiPriority w:val="0"/>
    <w:pPr>
      <w:tabs>
        <w:tab w:val="left" w:pos="425"/>
      </w:tabs>
      <w:topLinePunct/>
      <w:spacing w:line="360" w:lineRule="auto"/>
      <w:ind w:left="425" w:hanging="425"/>
    </w:pPr>
    <w:rPr>
      <w:rFonts w:eastAsia="宋体"/>
      <w:sz w:val="24"/>
    </w:rPr>
  </w:style>
  <w:style w:type="character" w:customStyle="1" w:styleId="236">
    <w:name w:val="Char Char"/>
    <w:qFormat/>
    <w:uiPriority w:val="0"/>
    <w:rPr>
      <w:rFonts w:eastAsia="宋体"/>
      <w:kern w:val="2"/>
      <w:sz w:val="21"/>
      <w:szCs w:val="24"/>
      <w:lang w:val="en-US" w:eastAsia="zh-CN" w:bidi="ar-SA"/>
    </w:rPr>
  </w:style>
  <w:style w:type="character" w:customStyle="1" w:styleId="237">
    <w:name w:val="Item List Char"/>
    <w:link w:val="238"/>
    <w:qFormat/>
    <w:uiPriority w:val="0"/>
    <w:rPr>
      <w:rFonts w:cs="Arial"/>
      <w:kern w:val="2"/>
      <w:sz w:val="21"/>
      <w:szCs w:val="21"/>
    </w:rPr>
  </w:style>
  <w:style w:type="paragraph" w:customStyle="1" w:styleId="238">
    <w:name w:val="Item List"/>
    <w:link w:val="237"/>
    <w:qFormat/>
    <w:uiPriority w:val="0"/>
    <w:pPr>
      <w:numPr>
        <w:ilvl w:val="0"/>
        <w:numId w:val="8"/>
      </w:numPr>
      <w:tabs>
        <w:tab w:val="left" w:pos="2126"/>
      </w:tabs>
      <w:adjustRightInd w:val="0"/>
      <w:snapToGrid w:val="0"/>
      <w:spacing w:before="80" w:after="80" w:line="240" w:lineRule="atLeast"/>
    </w:pPr>
    <w:rPr>
      <w:rFonts w:ascii="Times New Roman" w:hAnsi="Times New Roman" w:eastAsia="宋体" w:cs="Arial"/>
      <w:kern w:val="2"/>
      <w:sz w:val="21"/>
      <w:szCs w:val="21"/>
      <w:lang w:val="en-US" w:eastAsia="zh-CN" w:bidi="ar-SA"/>
    </w:rPr>
  </w:style>
  <w:style w:type="character" w:customStyle="1" w:styleId="239">
    <w:name w:val="*正文 Char"/>
    <w:link w:val="240"/>
    <w:qFormat/>
    <w:uiPriority w:val="0"/>
    <w:rPr>
      <w:rFonts w:ascii="宋体" w:hAnsi="宋体"/>
      <w:kern w:val="2"/>
      <w:sz w:val="24"/>
      <w:szCs w:val="22"/>
    </w:rPr>
  </w:style>
  <w:style w:type="paragraph" w:customStyle="1" w:styleId="240">
    <w:name w:val="*正文"/>
    <w:basedOn w:val="1"/>
    <w:link w:val="239"/>
    <w:qFormat/>
    <w:uiPriority w:val="0"/>
    <w:pPr>
      <w:spacing w:line="360" w:lineRule="auto"/>
      <w:ind w:firstLine="480" w:firstLineChars="200"/>
    </w:pPr>
    <w:rPr>
      <w:rFonts w:ascii="宋体" w:hAnsi="宋体" w:eastAsia="宋体"/>
      <w:sz w:val="24"/>
      <w:szCs w:val="22"/>
    </w:rPr>
  </w:style>
  <w:style w:type="character" w:customStyle="1" w:styleId="241">
    <w:name w:val="标题 8 字符1"/>
    <w:link w:val="11"/>
    <w:qFormat/>
    <w:uiPriority w:val="9"/>
    <w:rPr>
      <w:rFonts w:ascii="Arial" w:hAnsi="Arial" w:eastAsia="仿宋"/>
      <w:kern w:val="2"/>
      <w:sz w:val="28"/>
      <w:szCs w:val="24"/>
    </w:rPr>
  </w:style>
  <w:style w:type="character" w:customStyle="1" w:styleId="242">
    <w:name w:val="标题（4） Char"/>
    <w:link w:val="243"/>
    <w:qFormat/>
    <w:uiPriority w:val="0"/>
    <w:rPr>
      <w:kern w:val="2"/>
      <w:sz w:val="24"/>
      <w:szCs w:val="24"/>
    </w:rPr>
  </w:style>
  <w:style w:type="paragraph" w:customStyle="1" w:styleId="243">
    <w:name w:val="标题（4）"/>
    <w:basedOn w:val="1"/>
    <w:link w:val="242"/>
    <w:qFormat/>
    <w:uiPriority w:val="0"/>
    <w:pPr>
      <w:topLinePunct/>
      <w:spacing w:line="360" w:lineRule="auto"/>
      <w:jc w:val="left"/>
      <w:outlineLvl w:val="3"/>
    </w:pPr>
    <w:rPr>
      <w:rFonts w:eastAsia="宋体"/>
      <w:sz w:val="24"/>
    </w:rPr>
  </w:style>
  <w:style w:type="character" w:customStyle="1" w:styleId="244">
    <w:name w:val="标题 1 字符"/>
    <w:qFormat/>
    <w:uiPriority w:val="99"/>
    <w:rPr>
      <w:rFonts w:ascii="宋体" w:hAnsi="宋体" w:eastAsia="宋体" w:cs="Times New Roman"/>
      <w:b/>
      <w:bCs/>
      <w:kern w:val="0"/>
      <w:szCs w:val="20"/>
    </w:rPr>
  </w:style>
  <w:style w:type="character" w:customStyle="1" w:styleId="245">
    <w:name w:val="本文縮排 2 字元 Char"/>
    <w:qFormat/>
    <w:uiPriority w:val="0"/>
    <w:rPr>
      <w:rFonts w:eastAsia="PMingLiU"/>
      <w:snapToGrid w:val="0"/>
      <w:kern w:val="2"/>
      <w:sz w:val="24"/>
      <w:szCs w:val="24"/>
      <w:lang w:val="en-GB" w:eastAsia="zh-TW" w:bidi="ar-SA"/>
    </w:rPr>
  </w:style>
  <w:style w:type="character" w:customStyle="1" w:styleId="246">
    <w:name w:val="页眉 字符"/>
    <w:qFormat/>
    <w:uiPriority w:val="0"/>
    <w:rPr>
      <w:rFonts w:ascii="Times New Roman" w:hAnsi="Times New Roman" w:eastAsia="宋体" w:cs="Times New Roman"/>
      <w:sz w:val="18"/>
      <w:szCs w:val="18"/>
    </w:rPr>
  </w:style>
  <w:style w:type="character" w:customStyle="1" w:styleId="247">
    <w:name w:val="一 Char"/>
    <w:qFormat/>
    <w:uiPriority w:val="0"/>
    <w:rPr>
      <w:rFonts w:ascii="宋体" w:hAnsi="宋体" w:eastAsia="宋体"/>
      <w:b/>
      <w:bCs/>
      <w:sz w:val="28"/>
      <w:lang w:val="en-US" w:eastAsia="zh-CN" w:bidi="ar-SA"/>
    </w:rPr>
  </w:style>
  <w:style w:type="character" w:customStyle="1" w:styleId="248">
    <w:name w:val="正文文本 字符1"/>
    <w:qFormat/>
    <w:uiPriority w:val="99"/>
    <w:rPr>
      <w:sz w:val="21"/>
    </w:rPr>
  </w:style>
  <w:style w:type="character" w:customStyle="1" w:styleId="249">
    <w:name w:val="表图名称 Char Char"/>
    <w:link w:val="250"/>
    <w:qFormat/>
    <w:uiPriority w:val="0"/>
    <w:rPr>
      <w:rFonts w:ascii="黑体" w:hAnsi="宋体" w:eastAsia="黑体"/>
      <w:kern w:val="2"/>
      <w:sz w:val="24"/>
      <w:szCs w:val="24"/>
    </w:rPr>
  </w:style>
  <w:style w:type="paragraph" w:customStyle="1" w:styleId="250">
    <w:name w:val="表图名称"/>
    <w:link w:val="249"/>
    <w:qFormat/>
    <w:uiPriority w:val="0"/>
    <w:pPr>
      <w:widowControl w:val="0"/>
      <w:tabs>
        <w:tab w:val="left" w:pos="6120"/>
        <w:tab w:val="left" w:pos="13784"/>
      </w:tabs>
      <w:adjustRightInd w:val="0"/>
      <w:snapToGrid w:val="0"/>
      <w:spacing w:line="360" w:lineRule="auto"/>
      <w:jc w:val="center"/>
    </w:pPr>
    <w:rPr>
      <w:rFonts w:ascii="黑体" w:hAnsi="宋体" w:eastAsia="黑体" w:cs="Times New Roman"/>
      <w:kern w:val="2"/>
      <w:sz w:val="24"/>
      <w:szCs w:val="24"/>
      <w:lang w:val="en-US" w:eastAsia="zh-CN" w:bidi="ar-SA"/>
    </w:rPr>
  </w:style>
  <w:style w:type="character" w:customStyle="1" w:styleId="251">
    <w:name w:val="明显参考1"/>
    <w:qFormat/>
    <w:uiPriority w:val="32"/>
    <w:rPr>
      <w:b/>
      <w:bCs/>
      <w:smallCaps/>
      <w:color w:val="4472C4"/>
      <w:spacing w:val="5"/>
    </w:rPr>
  </w:style>
  <w:style w:type="character" w:customStyle="1" w:styleId="252">
    <w:name w:val="批注主题 字符"/>
    <w:qFormat/>
    <w:uiPriority w:val="0"/>
    <w:rPr>
      <w:rFonts w:ascii="Times New Roman" w:hAnsi="Times New Roman" w:eastAsia="宋体" w:cs="Times New Roman"/>
      <w:b/>
      <w:bCs/>
      <w:spacing w:val="20"/>
      <w:sz w:val="28"/>
      <w:szCs w:val="24"/>
    </w:rPr>
  </w:style>
  <w:style w:type="character" w:customStyle="1" w:styleId="253">
    <w:name w:val="批注文字 字符2"/>
    <w:qFormat/>
    <w:uiPriority w:val="99"/>
    <w:rPr>
      <w:rFonts w:ascii="宋体" w:hAnsi="宋体" w:eastAsia="宋体" w:cs="Times New Roman"/>
      <w:bCs/>
      <w:spacing w:val="20"/>
      <w:sz w:val="28"/>
      <w:szCs w:val="24"/>
    </w:rPr>
  </w:style>
  <w:style w:type="character" w:customStyle="1" w:styleId="254">
    <w:name w:val="样式 标题 1 + 五号 Char"/>
    <w:qFormat/>
    <w:uiPriority w:val="0"/>
    <w:rPr>
      <w:rFonts w:eastAsia="宋体"/>
      <w:b/>
      <w:bCs/>
      <w:kern w:val="44"/>
      <w:sz w:val="24"/>
      <w:szCs w:val="24"/>
      <w:lang w:val="en-US" w:eastAsia="zh-CN" w:bidi="ar-SA"/>
    </w:rPr>
  </w:style>
  <w:style w:type="character" w:customStyle="1" w:styleId="255">
    <w:name w:val="页脚 字符"/>
    <w:qFormat/>
    <w:uiPriority w:val="99"/>
    <w:rPr>
      <w:rFonts w:ascii="Times New Roman" w:hAnsi="Times New Roman" w:eastAsia="宋体" w:cs="Times New Roman"/>
      <w:sz w:val="18"/>
      <w:szCs w:val="18"/>
    </w:rPr>
  </w:style>
  <w:style w:type="character" w:customStyle="1" w:styleId="256">
    <w:name w:val="标题 8 字符"/>
    <w:qFormat/>
    <w:uiPriority w:val="0"/>
    <w:rPr>
      <w:rFonts w:ascii="Arial" w:hAnsi="Arial" w:eastAsia="黑体" w:cs="Times New Roman"/>
      <w:sz w:val="24"/>
      <w:szCs w:val="20"/>
    </w:rPr>
  </w:style>
  <w:style w:type="character" w:customStyle="1" w:styleId="257">
    <w:name w:val="列表框1 Char Char"/>
    <w:qFormat/>
    <w:uiPriority w:val="0"/>
    <w:rPr>
      <w:rFonts w:ascii="Arial" w:hAnsi="Arial" w:eastAsia="楷体_GB2312" w:cs="Arial"/>
      <w:spacing w:val="10"/>
      <w:kern w:val="2"/>
      <w:sz w:val="21"/>
      <w:szCs w:val="24"/>
      <w:lang w:val="en-US" w:eastAsia="zh-CN" w:bidi="ar-SA"/>
    </w:rPr>
  </w:style>
  <w:style w:type="character" w:customStyle="1" w:styleId="258">
    <w:name w:val="Table Text Char"/>
    <w:link w:val="259"/>
    <w:qFormat/>
    <w:uiPriority w:val="0"/>
    <w:rPr>
      <w:rFonts w:cs="Arial"/>
      <w:sz w:val="21"/>
      <w:szCs w:val="21"/>
    </w:rPr>
  </w:style>
  <w:style w:type="paragraph" w:customStyle="1" w:styleId="259">
    <w:name w:val="Table Text"/>
    <w:basedOn w:val="1"/>
    <w:link w:val="258"/>
    <w:qFormat/>
    <w:uiPriority w:val="0"/>
    <w:pPr>
      <w:topLinePunct/>
      <w:adjustRightInd w:val="0"/>
      <w:snapToGrid w:val="0"/>
      <w:spacing w:before="80" w:after="80" w:line="240" w:lineRule="atLeast"/>
      <w:jc w:val="left"/>
    </w:pPr>
    <w:rPr>
      <w:rFonts w:eastAsia="宋体" w:cs="Arial"/>
      <w:kern w:val="0"/>
      <w:sz w:val="21"/>
      <w:szCs w:val="21"/>
    </w:rPr>
  </w:style>
  <w:style w:type="character" w:customStyle="1" w:styleId="260">
    <w:name w:val="表 Char"/>
    <w:link w:val="261"/>
    <w:qFormat/>
    <w:uiPriority w:val="0"/>
    <w:rPr>
      <w:rFonts w:ascii="宋体" w:hAnsi="宋体"/>
      <w:snapToGrid w:val="0"/>
      <w:kern w:val="24"/>
      <w:sz w:val="21"/>
      <w:szCs w:val="21"/>
    </w:rPr>
  </w:style>
  <w:style w:type="paragraph" w:customStyle="1" w:styleId="261">
    <w:name w:val="表"/>
    <w:basedOn w:val="1"/>
    <w:link w:val="260"/>
    <w:qFormat/>
    <w:uiPriority w:val="0"/>
    <w:pPr>
      <w:adjustRightInd w:val="0"/>
      <w:snapToGrid w:val="0"/>
      <w:spacing w:line="360" w:lineRule="auto"/>
      <w:jc w:val="center"/>
    </w:pPr>
    <w:rPr>
      <w:rFonts w:ascii="宋体" w:hAnsi="宋体" w:eastAsia="宋体"/>
      <w:snapToGrid w:val="0"/>
      <w:kern w:val="24"/>
      <w:sz w:val="21"/>
      <w:szCs w:val="21"/>
    </w:rPr>
  </w:style>
  <w:style w:type="character" w:customStyle="1" w:styleId="262">
    <w:name w:val="正文文本缩进 Char2"/>
    <w:qFormat/>
    <w:uiPriority w:val="0"/>
    <w:rPr>
      <w:rFonts w:ascii="宋体" w:hAnsi="宋体"/>
      <w:color w:val="000000"/>
      <w:kern w:val="2"/>
      <w:sz w:val="21"/>
      <w:szCs w:val="24"/>
    </w:rPr>
  </w:style>
  <w:style w:type="character" w:customStyle="1" w:styleId="263">
    <w:name w:val="2正文 Char"/>
    <w:link w:val="264"/>
    <w:qFormat/>
    <w:uiPriority w:val="0"/>
    <w:rPr>
      <w:rFonts w:ascii="宋体" w:hAnsi="宋体" w:cs="宋体"/>
      <w:kern w:val="2"/>
      <w:sz w:val="24"/>
      <w:szCs w:val="24"/>
    </w:rPr>
  </w:style>
  <w:style w:type="paragraph" w:customStyle="1" w:styleId="264">
    <w:name w:val="2正文"/>
    <w:basedOn w:val="1"/>
    <w:link w:val="263"/>
    <w:qFormat/>
    <w:uiPriority w:val="0"/>
    <w:pPr>
      <w:widowControl/>
      <w:spacing w:line="560" w:lineRule="exact"/>
      <w:ind w:firstLine="480" w:firstLineChars="200"/>
      <w:jc w:val="left"/>
    </w:pPr>
    <w:rPr>
      <w:rFonts w:ascii="宋体" w:hAnsi="宋体" w:eastAsia="宋体" w:cs="宋体"/>
      <w:sz w:val="24"/>
    </w:rPr>
  </w:style>
  <w:style w:type="character" w:customStyle="1" w:styleId="265">
    <w:name w:val="f1"/>
    <w:qFormat/>
    <w:uiPriority w:val="0"/>
    <w:rPr>
      <w:color w:val="676767"/>
    </w:rPr>
  </w:style>
  <w:style w:type="character" w:customStyle="1" w:styleId="266">
    <w:name w:val="页眉 字符1"/>
    <w:link w:val="57"/>
    <w:qFormat/>
    <w:uiPriority w:val="99"/>
    <w:rPr>
      <w:rFonts w:eastAsia="仿宋"/>
      <w:kern w:val="2"/>
      <w:sz w:val="18"/>
      <w:szCs w:val="18"/>
    </w:rPr>
  </w:style>
  <w:style w:type="character" w:customStyle="1" w:styleId="267">
    <w:name w:val="Table Text Char1"/>
    <w:qFormat/>
    <w:uiPriority w:val="0"/>
    <w:rPr>
      <w:rFonts w:ascii="Times New Roman" w:hAnsi="Times New Roman" w:eastAsia="宋体" w:cs="Arial"/>
      <w:snapToGrid/>
      <w:kern w:val="0"/>
      <w:szCs w:val="21"/>
    </w:rPr>
  </w:style>
  <w:style w:type="character" w:customStyle="1" w:styleId="268">
    <w:name w:val="Char Char8"/>
    <w:semiHidden/>
    <w:qFormat/>
    <w:uiPriority w:val="0"/>
    <w:rPr>
      <w:rFonts w:ascii="宋体" w:hAnsi="宋体" w:eastAsia="宋体"/>
      <w:bCs/>
      <w:spacing w:val="20"/>
      <w:kern w:val="2"/>
      <w:sz w:val="28"/>
      <w:szCs w:val="24"/>
      <w:lang w:val="en-US" w:eastAsia="zh-CN" w:bidi="ar-SA"/>
    </w:rPr>
  </w:style>
  <w:style w:type="character" w:customStyle="1" w:styleId="269">
    <w:name w:val="标题 9 字符1"/>
    <w:link w:val="12"/>
    <w:qFormat/>
    <w:uiPriority w:val="9"/>
    <w:rPr>
      <w:rFonts w:ascii="Arial" w:hAnsi="Arial" w:eastAsia="仿宋"/>
      <w:kern w:val="2"/>
      <w:sz w:val="28"/>
      <w:szCs w:val="21"/>
    </w:rPr>
  </w:style>
  <w:style w:type="character" w:customStyle="1" w:styleId="270">
    <w:name w:val="应答文本 Char Char Char Char Char Char"/>
    <w:qFormat/>
    <w:uiPriority w:val="0"/>
    <w:rPr>
      <w:rFonts w:ascii="Arial" w:hAnsi="Arial" w:eastAsia="楷体_GB2312" w:cs="宋体"/>
      <w:spacing w:val="10"/>
      <w:kern w:val="2"/>
      <w:sz w:val="21"/>
      <w:szCs w:val="24"/>
      <w:lang w:val="en-US" w:eastAsia="zh-CN" w:bidi="ar-SA"/>
    </w:rPr>
  </w:style>
  <w:style w:type="character" w:customStyle="1" w:styleId="271">
    <w:name w:val="样式 题注 + 首行缩进:  2 字符2 Char"/>
    <w:link w:val="272"/>
    <w:qFormat/>
    <w:uiPriority w:val="0"/>
    <w:rPr>
      <w:rFonts w:ascii="Arial" w:hAnsi="Arial" w:cs="宋体"/>
      <w:snapToGrid w:val="0"/>
      <w:kern w:val="24"/>
      <w:sz w:val="24"/>
      <w:szCs w:val="24"/>
    </w:rPr>
  </w:style>
  <w:style w:type="paragraph" w:customStyle="1" w:styleId="272">
    <w:name w:val="样式 题注 + 首行缩进:  2 字符2"/>
    <w:basedOn w:val="22"/>
    <w:link w:val="271"/>
    <w:qFormat/>
    <w:uiPriority w:val="0"/>
    <w:pPr>
      <w:adjustRightInd w:val="0"/>
      <w:snapToGrid w:val="0"/>
      <w:spacing w:before="152" w:beforeLines="50" w:line="240" w:lineRule="auto"/>
      <w:jc w:val="center"/>
    </w:pPr>
    <w:rPr>
      <w:rFonts w:eastAsia="宋体" w:cs="宋体"/>
      <w:snapToGrid w:val="0"/>
      <w:kern w:val="24"/>
      <w:sz w:val="24"/>
      <w:szCs w:val="24"/>
    </w:rPr>
  </w:style>
  <w:style w:type="character" w:customStyle="1" w:styleId="273">
    <w:name w:val="无编号正文 Char"/>
    <w:link w:val="274"/>
    <w:qFormat/>
    <w:uiPriority w:val="0"/>
    <w:rPr>
      <w:kern w:val="2"/>
      <w:sz w:val="24"/>
    </w:rPr>
  </w:style>
  <w:style w:type="paragraph" w:customStyle="1" w:styleId="274">
    <w:name w:val="无编号正文"/>
    <w:basedOn w:val="34"/>
    <w:next w:val="1"/>
    <w:link w:val="273"/>
    <w:qFormat/>
    <w:uiPriority w:val="0"/>
    <w:pPr>
      <w:spacing w:after="0" w:line="360" w:lineRule="auto"/>
      <w:ind w:left="200" w:leftChars="200" w:firstLine="200" w:firstLineChars="200"/>
    </w:pPr>
    <w:rPr>
      <w:rFonts w:eastAsia="宋体"/>
      <w:sz w:val="24"/>
      <w:szCs w:val="20"/>
      <w:lang w:val="en-US"/>
    </w:rPr>
  </w:style>
  <w:style w:type="character" w:customStyle="1" w:styleId="275">
    <w:name w:val="标题 6 Char1"/>
    <w:qFormat/>
    <w:uiPriority w:val="0"/>
    <w:rPr>
      <w:rFonts w:ascii="Times New Roman" w:hAnsi="Times New Roman" w:eastAsia="宋体" w:cs="Times New Roman"/>
      <w:sz w:val="28"/>
      <w:szCs w:val="20"/>
    </w:rPr>
  </w:style>
  <w:style w:type="character" w:customStyle="1" w:styleId="276">
    <w:name w:val="批注框文本 字符1"/>
    <w:link w:val="54"/>
    <w:qFormat/>
    <w:uiPriority w:val="99"/>
    <w:rPr>
      <w:rFonts w:eastAsia="仿宋"/>
      <w:kern w:val="2"/>
      <w:sz w:val="18"/>
      <w:szCs w:val="18"/>
    </w:rPr>
  </w:style>
  <w:style w:type="character" w:customStyle="1" w:styleId="277">
    <w:name w:val="列表编号3 Char Char"/>
    <w:qFormat/>
    <w:uiPriority w:val="0"/>
    <w:rPr>
      <w:rFonts w:eastAsia="宋体"/>
      <w:kern w:val="2"/>
      <w:sz w:val="28"/>
      <w:lang w:val="en-US" w:eastAsia="zh-CN" w:bidi="ar-SA"/>
    </w:rPr>
  </w:style>
  <w:style w:type="character" w:customStyle="1" w:styleId="278">
    <w:name w:val="style11"/>
    <w:qFormat/>
    <w:uiPriority w:val="0"/>
    <w:rPr>
      <w:b/>
      <w:bCs/>
      <w:color w:val="FF0000"/>
      <w:sz w:val="24"/>
      <w:szCs w:val="24"/>
    </w:rPr>
  </w:style>
  <w:style w:type="character" w:customStyle="1" w:styleId="279">
    <w:name w:val="标题 5 字符1"/>
    <w:qFormat/>
    <w:uiPriority w:val="9"/>
    <w:rPr>
      <w:b/>
      <w:bCs/>
      <w:kern w:val="2"/>
      <w:sz w:val="28"/>
      <w:szCs w:val="28"/>
    </w:rPr>
  </w:style>
  <w:style w:type="character" w:customStyle="1" w:styleId="280">
    <w:name w:val="正文段落格式 Char"/>
    <w:link w:val="281"/>
    <w:qFormat/>
    <w:locked/>
    <w:uiPriority w:val="0"/>
    <w:rPr>
      <w:color w:val="000000"/>
      <w:kern w:val="2"/>
      <w:sz w:val="24"/>
      <w:szCs w:val="24"/>
    </w:rPr>
  </w:style>
  <w:style w:type="paragraph" w:customStyle="1" w:styleId="281">
    <w:name w:val="正文段落格式"/>
    <w:basedOn w:val="1"/>
    <w:link w:val="280"/>
    <w:qFormat/>
    <w:uiPriority w:val="0"/>
    <w:pPr>
      <w:spacing w:line="360" w:lineRule="auto"/>
      <w:ind w:firstLine="480" w:firstLineChars="200"/>
    </w:pPr>
    <w:rPr>
      <w:rFonts w:eastAsia="宋体"/>
      <w:color w:val="000000"/>
      <w:sz w:val="24"/>
    </w:rPr>
  </w:style>
  <w:style w:type="character" w:customStyle="1" w:styleId="282">
    <w:name w:val="标题 1 字符1"/>
    <w:link w:val="3"/>
    <w:qFormat/>
    <w:uiPriority w:val="99"/>
    <w:rPr>
      <w:rFonts w:eastAsia="仿宋"/>
      <w:b/>
      <w:bCs/>
      <w:kern w:val="44"/>
      <w:sz w:val="36"/>
      <w:szCs w:val="44"/>
    </w:rPr>
  </w:style>
  <w:style w:type="character" w:customStyle="1" w:styleId="283">
    <w:name w:val="标题 4 Char Char Char"/>
    <w:qFormat/>
    <w:uiPriority w:val="0"/>
    <w:rPr>
      <w:rFonts w:ascii="Arial" w:hAnsi="Arial" w:eastAsia="黑体"/>
      <w:b/>
      <w:bCs/>
      <w:kern w:val="2"/>
      <w:sz w:val="28"/>
      <w:szCs w:val="28"/>
      <w:lang w:val="en-US" w:eastAsia="zh-CN" w:bidi="ar-SA"/>
    </w:rPr>
  </w:style>
  <w:style w:type="character" w:customStyle="1" w:styleId="284">
    <w:name w:val="标题 4 Char Char Char1"/>
    <w:qFormat/>
    <w:uiPriority w:val="0"/>
    <w:rPr>
      <w:rFonts w:ascii="Arial" w:hAnsi="Arial" w:eastAsia="宋体" w:cs="Times New Roman"/>
      <w:bCs/>
      <w:szCs w:val="28"/>
    </w:rPr>
  </w:style>
  <w:style w:type="character" w:customStyle="1" w:styleId="285">
    <w:name w:val="批注文字 字符1"/>
    <w:qFormat/>
    <w:uiPriority w:val="99"/>
    <w:rPr>
      <w:rFonts w:ascii="宋体" w:hAnsi="宋体" w:eastAsia="宋体" w:cs="Times New Roman"/>
      <w:bCs/>
      <w:spacing w:val="20"/>
      <w:sz w:val="28"/>
      <w:szCs w:val="24"/>
    </w:rPr>
  </w:style>
  <w:style w:type="character" w:customStyle="1" w:styleId="286">
    <w:name w:val="样式 宋体 小四1"/>
    <w:qFormat/>
    <w:uiPriority w:val="0"/>
    <w:rPr>
      <w:rFonts w:ascii="宋体" w:hAnsi="宋体"/>
      <w:sz w:val="24"/>
    </w:rPr>
  </w:style>
  <w:style w:type="character" w:customStyle="1" w:styleId="287">
    <w:name w:val="批注主题 字符1"/>
    <w:link w:val="85"/>
    <w:qFormat/>
    <w:uiPriority w:val="99"/>
    <w:rPr>
      <w:rFonts w:eastAsia="仿宋"/>
      <w:b/>
      <w:bCs/>
      <w:kern w:val="2"/>
      <w:sz w:val="28"/>
      <w:szCs w:val="24"/>
    </w:rPr>
  </w:style>
  <w:style w:type="paragraph" w:customStyle="1" w:styleId="288">
    <w:name w:val="正文段落"/>
    <w:basedOn w:val="1"/>
    <w:qFormat/>
    <w:uiPriority w:val="0"/>
    <w:pPr>
      <w:autoSpaceDE w:val="0"/>
      <w:autoSpaceDN w:val="0"/>
      <w:adjustRightInd w:val="0"/>
      <w:spacing w:line="360" w:lineRule="auto"/>
      <w:ind w:firstLine="567"/>
      <w:textAlignment w:val="baseline"/>
    </w:pPr>
    <w:rPr>
      <w:rFonts w:ascii="宋体" w:hAnsi="Tms Rmn" w:eastAsia="宋体"/>
      <w:kern w:val="0"/>
      <w:szCs w:val="20"/>
    </w:rPr>
  </w:style>
  <w:style w:type="paragraph" w:customStyle="1" w:styleId="289">
    <w:name w:val="落款样式"/>
    <w:basedOn w:val="1"/>
    <w:qFormat/>
    <w:uiPriority w:val="0"/>
    <w:pPr>
      <w:spacing w:line="240" w:lineRule="auto"/>
      <w:ind w:left="2465" w:firstLine="420"/>
      <w:jc w:val="left"/>
    </w:pPr>
    <w:rPr>
      <w:rFonts w:eastAsia="宋体" w:cs="宋体"/>
      <w:kern w:val="0"/>
      <w:sz w:val="24"/>
      <w:szCs w:val="20"/>
    </w:rPr>
  </w:style>
  <w:style w:type="paragraph" w:customStyle="1" w:styleId="290">
    <w:name w:val="应答文本 Char Char Char Char Char"/>
    <w:basedOn w:val="1"/>
    <w:qFormat/>
    <w:uiPriority w:val="0"/>
    <w:pPr>
      <w:adjustRightInd w:val="0"/>
      <w:spacing w:afterLines="50" w:line="320" w:lineRule="exact"/>
      <w:ind w:left="300" w:leftChars="300" w:firstLine="200" w:firstLineChars="200"/>
      <w:jc w:val="left"/>
    </w:pPr>
    <w:rPr>
      <w:rFonts w:ascii="Arial" w:hAnsi="Arial" w:eastAsia="楷体_GB2312" w:cs="宋体"/>
      <w:spacing w:val="10"/>
      <w:sz w:val="21"/>
    </w:rPr>
  </w:style>
  <w:style w:type="paragraph" w:customStyle="1" w:styleId="291">
    <w:name w:val="7"/>
    <w:basedOn w:val="1"/>
    <w:next w:val="35"/>
    <w:qFormat/>
    <w:uiPriority w:val="0"/>
    <w:pPr>
      <w:spacing w:line="360" w:lineRule="auto"/>
      <w:ind w:left="718" w:leftChars="342"/>
    </w:pPr>
    <w:rPr>
      <w:rFonts w:ascii="宋体" w:hAnsi="宋体" w:eastAsia="宋体"/>
      <w:color w:val="000000"/>
      <w:sz w:val="21"/>
    </w:rPr>
  </w:style>
  <w:style w:type="paragraph" w:customStyle="1" w:styleId="29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3">
    <w:name w:val="标题2"/>
    <w:basedOn w:val="1"/>
    <w:qFormat/>
    <w:uiPriority w:val="0"/>
    <w:pPr>
      <w:numPr>
        <w:ilvl w:val="1"/>
        <w:numId w:val="2"/>
      </w:numPr>
      <w:spacing w:line="240" w:lineRule="auto"/>
    </w:pPr>
    <w:rPr>
      <w:rFonts w:eastAsia="宋体"/>
      <w:sz w:val="21"/>
    </w:rPr>
  </w:style>
  <w:style w:type="paragraph" w:customStyle="1" w:styleId="294">
    <w:name w:val="(1)"/>
    <w:basedOn w:val="1"/>
    <w:next w:val="1"/>
    <w:qFormat/>
    <w:uiPriority w:val="0"/>
    <w:pPr>
      <w:spacing w:line="360" w:lineRule="auto"/>
    </w:pPr>
    <w:rPr>
      <w:rFonts w:ascii="宋体" w:hAnsi="宋体" w:eastAsia="宋体"/>
      <w:kern w:val="0"/>
      <w:sz w:val="24"/>
    </w:rPr>
  </w:style>
  <w:style w:type="paragraph" w:customStyle="1" w:styleId="295">
    <w:name w:val="CM124"/>
    <w:basedOn w:val="292"/>
    <w:next w:val="292"/>
    <w:qFormat/>
    <w:uiPriority w:val="0"/>
    <w:pPr>
      <w:spacing w:after="285"/>
    </w:pPr>
    <w:rPr>
      <w:rFonts w:cs="Times New Roman"/>
      <w:color w:val="auto"/>
    </w:rPr>
  </w:style>
  <w:style w:type="paragraph" w:customStyle="1" w:styleId="296">
    <w:name w:val="02表格、图表（修改）"/>
    <w:basedOn w:val="1"/>
    <w:qFormat/>
    <w:uiPriority w:val="0"/>
    <w:pPr>
      <w:snapToGrid w:val="0"/>
      <w:spacing w:line="240" w:lineRule="auto"/>
      <w:jc w:val="center"/>
    </w:pPr>
    <w:rPr>
      <w:rFonts w:eastAsia="宋体" w:cs="宋体"/>
      <w:sz w:val="21"/>
      <w:szCs w:val="20"/>
    </w:rPr>
  </w:style>
  <w:style w:type="paragraph" w:customStyle="1" w:styleId="297">
    <w:name w:val="招标文件1）"/>
    <w:qFormat/>
    <w:uiPriority w:val="0"/>
    <w:pPr>
      <w:numPr>
        <w:ilvl w:val="5"/>
        <w:numId w:val="5"/>
      </w:numPr>
      <w:spacing w:before="120" w:after="120" w:line="300" w:lineRule="auto"/>
      <w:outlineLvl w:val="5"/>
    </w:pPr>
    <w:rPr>
      <w:rFonts w:ascii="宋体" w:hAnsi="Times New Roman" w:eastAsia="宋体" w:cs="Times New Roman"/>
      <w:spacing w:val="10"/>
      <w:w w:val="95"/>
      <w:sz w:val="21"/>
      <w:lang w:val="en-US" w:eastAsia="zh-CN" w:bidi="ar-SA"/>
    </w:rPr>
  </w:style>
  <w:style w:type="paragraph" w:customStyle="1" w:styleId="298">
    <w:name w:val="CM42"/>
    <w:basedOn w:val="292"/>
    <w:next w:val="292"/>
    <w:qFormat/>
    <w:uiPriority w:val="0"/>
    <w:rPr>
      <w:rFonts w:cs="Times New Roman"/>
      <w:color w:val="auto"/>
    </w:rPr>
  </w:style>
  <w:style w:type="paragraph" w:customStyle="1" w:styleId="299">
    <w:name w:val="条文 0"/>
    <w:next w:val="1"/>
    <w:qFormat/>
    <w:uiPriority w:val="0"/>
    <w:pPr>
      <w:numPr>
        <w:ilvl w:val="0"/>
        <w:numId w:val="9"/>
      </w:numPr>
      <w:spacing w:before="240" w:after="240"/>
    </w:pPr>
    <w:rPr>
      <w:rFonts w:ascii="Times New Roman" w:hAnsi="Times New Roman" w:eastAsia="黑体" w:cs="Times New Roman"/>
      <w:sz w:val="21"/>
      <w:lang w:val="en-US" w:eastAsia="zh-CN" w:bidi="ar-SA"/>
    </w:rPr>
  </w:style>
  <w:style w:type="paragraph" w:customStyle="1" w:styleId="300">
    <w:name w:val="Char1"/>
    <w:basedOn w:val="1"/>
    <w:qFormat/>
    <w:uiPriority w:val="0"/>
    <w:pPr>
      <w:spacing w:line="240" w:lineRule="auto"/>
    </w:pPr>
    <w:rPr>
      <w:rFonts w:ascii="Tahoma" w:hAnsi="Tahoma" w:eastAsia="宋体" w:cs="仿宋_GB2312"/>
      <w:sz w:val="24"/>
      <w:szCs w:val="20"/>
    </w:rPr>
  </w:style>
  <w:style w:type="paragraph" w:customStyle="1" w:styleId="301">
    <w:name w:val="正文C"/>
    <w:qFormat/>
    <w:uiPriority w:val="0"/>
    <w:pPr>
      <w:widowControl w:val="0"/>
      <w:adjustRightInd w:val="0"/>
      <w:snapToGrid w:val="0"/>
      <w:spacing w:line="360" w:lineRule="auto"/>
      <w:ind w:right="31" w:rightChars="15" w:firstLine="420" w:firstLineChars="200"/>
      <w:jc w:val="both"/>
    </w:pPr>
    <w:rPr>
      <w:rFonts w:ascii="Times New Roman" w:hAnsi="Times New Roman" w:eastAsia="宋体" w:cs="宋体"/>
      <w:kern w:val="44"/>
      <w:sz w:val="24"/>
      <w:lang w:val="en-US" w:eastAsia="zh-CN" w:bidi="ar-SA"/>
    </w:rPr>
  </w:style>
  <w:style w:type="paragraph" w:customStyle="1" w:styleId="302">
    <w:name w:val="序号3"/>
    <w:basedOn w:val="1"/>
    <w:qFormat/>
    <w:uiPriority w:val="0"/>
    <w:pPr>
      <w:numPr>
        <w:ilvl w:val="0"/>
        <w:numId w:val="10"/>
      </w:numPr>
      <w:tabs>
        <w:tab w:val="left" w:pos="425"/>
      </w:tabs>
      <w:spacing w:line="500" w:lineRule="exact"/>
      <w:ind w:firstLine="0"/>
    </w:pPr>
    <w:rPr>
      <w:rFonts w:eastAsia="宋体"/>
      <w:kern w:val="0"/>
    </w:rPr>
  </w:style>
  <w:style w:type="paragraph" w:customStyle="1" w:styleId="303">
    <w:name w:val="CM8"/>
    <w:basedOn w:val="292"/>
    <w:next w:val="292"/>
    <w:qFormat/>
    <w:uiPriority w:val="0"/>
    <w:rPr>
      <w:rFonts w:cs="Times New Roman"/>
      <w:color w:val="auto"/>
    </w:rPr>
  </w:style>
  <w:style w:type="paragraph" w:customStyle="1" w:styleId="304">
    <w:name w:val="Char11"/>
    <w:basedOn w:val="1"/>
    <w:qFormat/>
    <w:uiPriority w:val="0"/>
    <w:pPr>
      <w:spacing w:line="240" w:lineRule="auto"/>
    </w:pPr>
    <w:rPr>
      <w:rFonts w:ascii="Tahoma" w:hAnsi="Tahoma" w:eastAsia="宋体"/>
      <w:sz w:val="24"/>
      <w:szCs w:val="20"/>
    </w:rPr>
  </w:style>
  <w:style w:type="paragraph" w:customStyle="1" w:styleId="305">
    <w:name w:val="Sub Item List in Table"/>
    <w:basedOn w:val="1"/>
    <w:qFormat/>
    <w:uiPriority w:val="0"/>
    <w:pPr>
      <w:widowControl/>
      <w:tabs>
        <w:tab w:val="left" w:pos="568"/>
      </w:tabs>
      <w:topLinePunct/>
      <w:adjustRightInd w:val="0"/>
      <w:snapToGrid w:val="0"/>
      <w:spacing w:before="80" w:after="80" w:line="240" w:lineRule="atLeast"/>
      <w:ind w:left="568" w:hanging="284"/>
      <w:jc w:val="left"/>
    </w:pPr>
    <w:rPr>
      <w:rFonts w:hint="eastAsia" w:eastAsia="宋体" w:cs="Arial"/>
      <w:sz w:val="21"/>
      <w:szCs w:val="21"/>
    </w:rPr>
  </w:style>
  <w:style w:type="paragraph" w:customStyle="1" w:styleId="306">
    <w:name w:val="条文 3"/>
    <w:next w:val="1"/>
    <w:qFormat/>
    <w:uiPriority w:val="0"/>
    <w:pPr>
      <w:numPr>
        <w:ilvl w:val="3"/>
        <w:numId w:val="9"/>
      </w:numPr>
      <w:spacing w:line="310" w:lineRule="exact"/>
    </w:pPr>
    <w:rPr>
      <w:rFonts w:ascii="Times New Roman" w:hAnsi="Times New Roman" w:eastAsia="黑体" w:cs="Times New Roman"/>
      <w:sz w:val="21"/>
      <w:lang w:val="en-US" w:eastAsia="zh-CN" w:bidi="ar-SA"/>
    </w:rPr>
  </w:style>
  <w:style w:type="paragraph" w:customStyle="1" w:styleId="307">
    <w:name w:val="条款"/>
    <w:basedOn w:val="45"/>
    <w:qFormat/>
    <w:uiPriority w:val="0"/>
    <w:pPr>
      <w:tabs>
        <w:tab w:val="left" w:pos="984"/>
      </w:tabs>
      <w:adjustRightInd w:val="0"/>
      <w:snapToGrid w:val="0"/>
      <w:spacing w:line="360" w:lineRule="auto"/>
      <w:ind w:left="84" w:leftChars="40"/>
      <w:jc w:val="center"/>
    </w:pPr>
    <w:rPr>
      <w:rFonts w:ascii="Times New Roman" w:hAnsi="Times New Roman" w:eastAsia="宋体"/>
      <w:bCs/>
      <w:sz w:val="24"/>
      <w:szCs w:val="24"/>
      <w:lang w:val="en-US"/>
    </w:rPr>
  </w:style>
  <w:style w:type="paragraph" w:customStyle="1" w:styleId="308">
    <w:name w:val="标书二级标题，自动编号"/>
    <w:basedOn w:val="1"/>
    <w:qFormat/>
    <w:uiPriority w:val="0"/>
    <w:pPr>
      <w:keepNext/>
      <w:keepLines/>
      <w:spacing w:before="160" w:after="160" w:line="415" w:lineRule="auto"/>
      <w:jc w:val="left"/>
      <w:outlineLvl w:val="2"/>
    </w:pPr>
    <w:rPr>
      <w:rFonts w:eastAsia="宋体"/>
      <w:b/>
      <w:bCs/>
      <w:szCs w:val="32"/>
    </w:rPr>
  </w:style>
  <w:style w:type="paragraph" w:customStyle="1" w:styleId="309">
    <w:name w:val="Char12"/>
    <w:basedOn w:val="1"/>
    <w:qFormat/>
    <w:uiPriority w:val="0"/>
    <w:pPr>
      <w:spacing w:line="240" w:lineRule="auto"/>
    </w:pPr>
    <w:rPr>
      <w:rFonts w:ascii="Tahoma" w:hAnsi="Tahoma" w:eastAsia="宋体"/>
      <w:sz w:val="24"/>
      <w:szCs w:val="20"/>
    </w:rPr>
  </w:style>
  <w:style w:type="paragraph" w:customStyle="1" w:styleId="310">
    <w:name w:val="标题-1"/>
    <w:qFormat/>
    <w:uiPriority w:val="0"/>
    <w:pPr>
      <w:spacing w:after="360"/>
      <w:ind w:left="851"/>
      <w:outlineLvl w:val="0"/>
    </w:pPr>
    <w:rPr>
      <w:rFonts w:ascii="Arial" w:hAnsi="Arial" w:eastAsia="黑体" w:cs="Times New Roman"/>
      <w:b/>
      <w:sz w:val="36"/>
      <w:lang w:val="en-US" w:eastAsia="zh-CN" w:bidi="ar-SA"/>
    </w:rPr>
  </w:style>
  <w:style w:type="paragraph" w:customStyle="1" w:styleId="311">
    <w:name w:val="表格1"/>
    <w:qFormat/>
    <w:uiPriority w:val="0"/>
    <w:pPr>
      <w:keepNext/>
      <w:jc w:val="center"/>
    </w:pPr>
    <w:rPr>
      <w:rFonts w:ascii="宋体" w:hAnsi="Times New Roman" w:eastAsia="宋体" w:cs="Times New Roman"/>
      <w:snapToGrid w:val="0"/>
      <w:spacing w:val="6"/>
      <w:w w:val="95"/>
      <w:sz w:val="24"/>
      <w:lang w:val="en-US" w:eastAsia="zh-CN" w:bidi="ar-SA"/>
    </w:rPr>
  </w:style>
  <w:style w:type="paragraph" w:customStyle="1" w:styleId="312">
    <w:name w:val="正文文本2"/>
    <w:qFormat/>
    <w:uiPriority w:val="0"/>
    <w:pPr>
      <w:widowControl w:val="0"/>
      <w:autoSpaceDE w:val="0"/>
      <w:autoSpaceDN w:val="0"/>
      <w:adjustRightInd w:val="0"/>
      <w:spacing w:before="170" w:line="300" w:lineRule="atLeast"/>
      <w:jc w:val="both"/>
    </w:pPr>
    <w:rPr>
      <w:rFonts w:ascii="宋体" w:hAnsi="宋体" w:eastAsia="宋体" w:cs="Times New Roman"/>
      <w:b/>
      <w:bCs/>
      <w:kern w:val="2"/>
      <w:sz w:val="24"/>
      <w:szCs w:val="24"/>
      <w:lang w:val="en-US" w:eastAsia="zh-CN" w:bidi="ar-SA"/>
    </w:rPr>
  </w:style>
  <w:style w:type="paragraph" w:customStyle="1" w:styleId="313">
    <w:name w:val="末级"/>
    <w:basedOn w:val="1"/>
    <w:qFormat/>
    <w:uiPriority w:val="0"/>
    <w:pPr>
      <w:tabs>
        <w:tab w:val="left" w:pos="960"/>
      </w:tabs>
      <w:spacing w:line="360" w:lineRule="auto"/>
      <w:ind w:firstLine="420" w:firstLineChars="200"/>
      <w:jc w:val="left"/>
    </w:pPr>
    <w:rPr>
      <w:rFonts w:eastAsia="宋体"/>
      <w:sz w:val="24"/>
    </w:rPr>
  </w:style>
  <w:style w:type="paragraph" w:customStyle="1" w:styleId="314">
    <w:name w:val="招标文件1"/>
    <w:basedOn w:val="1"/>
    <w:qFormat/>
    <w:uiPriority w:val="0"/>
    <w:pPr>
      <w:numPr>
        <w:ilvl w:val="1"/>
        <w:numId w:val="5"/>
      </w:numPr>
      <w:tabs>
        <w:tab w:val="left" w:pos="420"/>
      </w:tabs>
      <w:spacing w:before="120" w:after="120"/>
      <w:jc w:val="left"/>
      <w:outlineLvl w:val="1"/>
    </w:pPr>
    <w:rPr>
      <w:rFonts w:ascii="宋体" w:eastAsia="宋体"/>
      <w:b/>
      <w:spacing w:val="10"/>
      <w:w w:val="95"/>
      <w:kern w:val="0"/>
    </w:rPr>
  </w:style>
  <w:style w:type="paragraph" w:customStyle="1" w:styleId="315">
    <w:name w:val="表头样式"/>
    <w:basedOn w:val="316"/>
    <w:qFormat/>
    <w:uiPriority w:val="0"/>
    <w:pPr>
      <w:adjustRightInd w:val="0"/>
      <w:snapToGrid w:val="0"/>
      <w:spacing w:line="300" w:lineRule="exact"/>
    </w:pPr>
    <w:rPr>
      <w:rFonts w:eastAsia="楷体_GB2312" w:cs="宋体"/>
      <w:snapToGrid/>
      <w:color w:val="auto"/>
      <w:kern w:val="2"/>
    </w:rPr>
  </w:style>
  <w:style w:type="paragraph" w:customStyle="1" w:styleId="316">
    <w:name w:val="表格文本"/>
    <w:basedOn w:val="1"/>
    <w:qFormat/>
    <w:uiPriority w:val="0"/>
    <w:pPr>
      <w:spacing w:line="360" w:lineRule="auto"/>
      <w:jc w:val="center"/>
    </w:pPr>
    <w:rPr>
      <w:rFonts w:ascii="Arial" w:hAnsi="Arial" w:eastAsia="宋体" w:cs="Arial"/>
      <w:snapToGrid w:val="0"/>
      <w:color w:val="000000"/>
      <w:kern w:val="0"/>
      <w:sz w:val="21"/>
      <w:szCs w:val="20"/>
    </w:rPr>
  </w:style>
  <w:style w:type="paragraph" w:customStyle="1" w:styleId="317">
    <w:name w:val="节标题_1"/>
    <w:basedOn w:val="1"/>
    <w:next w:val="1"/>
    <w:qFormat/>
    <w:uiPriority w:val="0"/>
    <w:pPr>
      <w:keepNext/>
      <w:keepLines/>
      <w:widowControl/>
      <w:tabs>
        <w:tab w:val="left" w:pos="1418"/>
      </w:tabs>
      <w:spacing w:before="360" w:line="240" w:lineRule="auto"/>
      <w:ind w:left="1418" w:hanging="1418"/>
      <w:jc w:val="left"/>
    </w:pPr>
    <w:rPr>
      <w:rFonts w:ascii="Arial" w:hAnsi="Arial" w:eastAsia="黑体"/>
      <w:b/>
      <w:kern w:val="0"/>
      <w:sz w:val="32"/>
      <w:szCs w:val="20"/>
    </w:rPr>
  </w:style>
  <w:style w:type="paragraph" w:customStyle="1" w:styleId="318">
    <w:name w:val="Bullet 2"/>
    <w:basedOn w:val="1"/>
    <w:qFormat/>
    <w:uiPriority w:val="0"/>
    <w:pPr>
      <w:widowControl/>
      <w:tabs>
        <w:tab w:val="left" w:pos="360"/>
      </w:tabs>
      <w:spacing w:line="240" w:lineRule="auto"/>
      <w:ind w:left="360" w:hanging="360"/>
    </w:pPr>
    <w:rPr>
      <w:rFonts w:ascii="Arial" w:hAnsi="Arial" w:eastAsia="仿宋_GB2312"/>
      <w:kern w:val="0"/>
      <w:sz w:val="24"/>
      <w:szCs w:val="20"/>
      <w:lang w:val="en-GB" w:eastAsia="en-US"/>
    </w:rPr>
  </w:style>
  <w:style w:type="paragraph" w:customStyle="1" w:styleId="319">
    <w:name w:val="青岛正文"/>
    <w:basedOn w:val="1"/>
    <w:qFormat/>
    <w:uiPriority w:val="0"/>
    <w:pPr>
      <w:spacing w:line="360" w:lineRule="auto"/>
    </w:pPr>
    <w:rPr>
      <w:rFonts w:eastAsia="宋体"/>
    </w:rPr>
  </w:style>
  <w:style w:type="paragraph" w:customStyle="1" w:styleId="320">
    <w:name w:val="条文 5"/>
    <w:next w:val="1"/>
    <w:qFormat/>
    <w:uiPriority w:val="0"/>
    <w:pPr>
      <w:numPr>
        <w:ilvl w:val="6"/>
        <w:numId w:val="9"/>
      </w:numPr>
      <w:spacing w:line="310" w:lineRule="exact"/>
    </w:pPr>
    <w:rPr>
      <w:rFonts w:ascii="Times New Roman" w:hAnsi="Times New Roman" w:eastAsia="黑体" w:cs="Times New Roman"/>
      <w:sz w:val="21"/>
      <w:lang w:val="en-US" w:eastAsia="zh-CN" w:bidi="ar-SA"/>
    </w:rPr>
  </w:style>
  <w:style w:type="paragraph" w:customStyle="1" w:styleId="321">
    <w:name w:val="CM71"/>
    <w:basedOn w:val="292"/>
    <w:next w:val="292"/>
    <w:qFormat/>
    <w:uiPriority w:val="0"/>
    <w:pPr>
      <w:spacing w:after="195"/>
    </w:pPr>
    <w:rPr>
      <w:rFonts w:cs="Times New Roman"/>
      <w:color w:val="auto"/>
    </w:rPr>
  </w:style>
  <w:style w:type="paragraph" w:customStyle="1" w:styleId="322">
    <w:name w:val="图注"/>
    <w:qFormat/>
    <w:uiPriority w:val="0"/>
    <w:pPr>
      <w:widowControl w:val="0"/>
      <w:adjustRightInd w:val="0"/>
      <w:snapToGrid w:val="0"/>
      <w:spacing w:line="360" w:lineRule="auto"/>
      <w:jc w:val="center"/>
    </w:pPr>
    <w:rPr>
      <w:rFonts w:ascii="Times New Roman" w:hAnsi="Times New Roman" w:eastAsia="黑体" w:cs="Times New Roman"/>
      <w:b/>
      <w:sz w:val="24"/>
      <w:szCs w:val="21"/>
      <w:lang w:val="en-US" w:eastAsia="zh-CN" w:bidi="ar-SA"/>
    </w:rPr>
  </w:style>
  <w:style w:type="paragraph" w:customStyle="1" w:styleId="323">
    <w:name w:val="正文（首行缩进4字）"/>
    <w:basedOn w:val="5"/>
    <w:qFormat/>
    <w:uiPriority w:val="0"/>
    <w:pPr>
      <w:tabs>
        <w:tab w:val="left" w:pos="709"/>
      </w:tabs>
      <w:spacing w:line="500" w:lineRule="exact"/>
      <w:ind w:left="1120" w:firstLine="0"/>
    </w:pPr>
    <w:rPr>
      <w:rFonts w:eastAsia="宋体"/>
    </w:rPr>
  </w:style>
  <w:style w:type="paragraph" w:customStyle="1" w:styleId="324">
    <w:name w:val="列表框"/>
    <w:qFormat/>
    <w:uiPriority w:val="0"/>
    <w:pPr>
      <w:numPr>
        <w:ilvl w:val="0"/>
        <w:numId w:val="11"/>
      </w:numPr>
      <w:tabs>
        <w:tab w:val="left" w:pos="620"/>
        <w:tab w:val="left" w:pos="840"/>
      </w:tabs>
      <w:adjustRightInd w:val="0"/>
      <w:snapToGrid w:val="0"/>
      <w:spacing w:line="400" w:lineRule="exact"/>
    </w:pPr>
    <w:rPr>
      <w:rFonts w:ascii="Times New Roman" w:hAnsi="Times New Roman" w:eastAsia="宋体" w:cs="Times New Roman"/>
      <w:spacing w:val="10"/>
      <w:sz w:val="21"/>
      <w:szCs w:val="21"/>
      <w:lang w:val="en-US" w:eastAsia="zh-CN" w:bidi="ar-SA"/>
    </w:rPr>
  </w:style>
  <w:style w:type="paragraph" w:customStyle="1" w:styleId="325">
    <w:name w:val="a"/>
    <w:basedOn w:val="1"/>
    <w:qFormat/>
    <w:uiPriority w:val="0"/>
    <w:pPr>
      <w:widowControl/>
      <w:spacing w:before="100" w:beforeAutospacing="1" w:after="100" w:afterAutospacing="1" w:line="240" w:lineRule="auto"/>
      <w:jc w:val="left"/>
    </w:pPr>
    <w:rPr>
      <w:rFonts w:ascii="宋体" w:hAnsi="宋体" w:eastAsia="宋体" w:cs="宋体"/>
      <w:kern w:val="0"/>
      <w:sz w:val="24"/>
    </w:rPr>
  </w:style>
  <w:style w:type="paragraph" w:customStyle="1" w:styleId="326">
    <w:name w:val="列表框1 Char"/>
    <w:basedOn w:val="1"/>
    <w:next w:val="1"/>
    <w:qFormat/>
    <w:uiPriority w:val="0"/>
    <w:pPr>
      <w:numPr>
        <w:ilvl w:val="0"/>
        <w:numId w:val="12"/>
      </w:numPr>
      <w:tabs>
        <w:tab w:val="left" w:pos="2018"/>
        <w:tab w:val="left" w:pos="2086"/>
        <w:tab w:val="left" w:pos="2325"/>
      </w:tabs>
      <w:adjustRightInd w:val="0"/>
      <w:snapToGrid w:val="0"/>
      <w:spacing w:afterLines="50" w:line="320" w:lineRule="exact"/>
      <w:ind w:left="2031" w:leftChars="665" w:hanging="435" w:hangingChars="189"/>
      <w:jc w:val="left"/>
    </w:pPr>
    <w:rPr>
      <w:rFonts w:ascii="Arial" w:hAnsi="Arial" w:eastAsia="楷体_GB2312" w:cs="Arial"/>
      <w:spacing w:val="10"/>
      <w:sz w:val="21"/>
    </w:rPr>
  </w:style>
  <w:style w:type="paragraph" w:customStyle="1" w:styleId="327">
    <w:name w:val="标书一级标题，自动编号"/>
    <w:basedOn w:val="1"/>
    <w:qFormat/>
    <w:uiPriority w:val="0"/>
    <w:pPr>
      <w:keepNext/>
      <w:keepLines/>
      <w:spacing w:before="240" w:after="240" w:line="415" w:lineRule="auto"/>
      <w:jc w:val="left"/>
      <w:outlineLvl w:val="1"/>
    </w:pPr>
    <w:rPr>
      <w:rFonts w:ascii="Arial" w:hAnsi="Arial" w:eastAsia="黑体"/>
      <w:b/>
      <w:bCs/>
      <w:sz w:val="30"/>
      <w:szCs w:val="32"/>
    </w:rPr>
  </w:style>
  <w:style w:type="paragraph" w:customStyle="1" w:styleId="328">
    <w:name w:val="Headline"/>
    <w:qFormat/>
    <w:uiPriority w:val="0"/>
    <w:pPr>
      <w:pageBreakBefore/>
      <w:widowControl w:val="0"/>
      <w:tabs>
        <w:tab w:val="left" w:pos="2552"/>
      </w:tabs>
      <w:autoSpaceDE w:val="0"/>
      <w:autoSpaceDN w:val="0"/>
      <w:adjustRightInd w:val="0"/>
      <w:spacing w:before="400" w:after="400" w:line="900" w:lineRule="atLeast"/>
    </w:pPr>
    <w:rPr>
      <w:rFonts w:ascii="Arial" w:hAnsi="Arial" w:eastAsia="黑体" w:cs="Times New Roman"/>
      <w:b/>
      <w:sz w:val="52"/>
      <w:lang w:val="en-US" w:eastAsia="zh-CN" w:bidi="ar-SA"/>
    </w:rPr>
  </w:style>
  <w:style w:type="paragraph" w:customStyle="1" w:styleId="329">
    <w:name w:val="序号1"/>
    <w:basedOn w:val="1"/>
    <w:qFormat/>
    <w:uiPriority w:val="0"/>
    <w:pPr>
      <w:numPr>
        <w:ilvl w:val="0"/>
        <w:numId w:val="13"/>
      </w:numPr>
      <w:tabs>
        <w:tab w:val="left" w:pos="1134"/>
      </w:tabs>
      <w:spacing w:line="500" w:lineRule="exact"/>
      <w:ind w:left="0" w:firstLine="566" w:firstLineChars="202"/>
    </w:pPr>
    <w:rPr>
      <w:rFonts w:eastAsia="宋体"/>
      <w:kern w:val="0"/>
    </w:rPr>
  </w:style>
  <w:style w:type="paragraph" w:customStyle="1" w:styleId="330">
    <w:name w:val="CM125"/>
    <w:basedOn w:val="292"/>
    <w:next w:val="292"/>
    <w:qFormat/>
    <w:uiPriority w:val="0"/>
    <w:pPr>
      <w:spacing w:after="125"/>
    </w:pPr>
    <w:rPr>
      <w:rFonts w:cs="Times New Roman"/>
      <w:color w:val="auto"/>
    </w:rPr>
  </w:style>
  <w:style w:type="paragraph" w:customStyle="1" w:styleId="331">
    <w:name w:val="样式 标题 1 + 五号"/>
    <w:basedOn w:val="3"/>
    <w:qFormat/>
    <w:uiPriority w:val="0"/>
    <w:pPr>
      <w:keepNext/>
      <w:keepLines/>
      <w:numPr>
        <w:ilvl w:val="0"/>
        <w:numId w:val="14"/>
      </w:numPr>
      <w:tabs>
        <w:tab w:val="left" w:pos="454"/>
      </w:tabs>
      <w:spacing w:before="0" w:after="0" w:line="360" w:lineRule="auto"/>
      <w:jc w:val="both"/>
    </w:pPr>
    <w:rPr>
      <w:rFonts w:eastAsia="宋体"/>
      <w:sz w:val="24"/>
      <w:szCs w:val="24"/>
    </w:rPr>
  </w:style>
  <w:style w:type="paragraph" w:customStyle="1" w:styleId="332">
    <w:name w:val="条文 1"/>
    <w:next w:val="1"/>
    <w:qFormat/>
    <w:uiPriority w:val="0"/>
    <w:pPr>
      <w:numPr>
        <w:ilvl w:val="1"/>
        <w:numId w:val="9"/>
      </w:numPr>
      <w:spacing w:line="310" w:lineRule="exact"/>
    </w:pPr>
    <w:rPr>
      <w:rFonts w:ascii="Times New Roman" w:hAnsi="Times New Roman" w:eastAsia="黑体" w:cs="Times New Roman"/>
      <w:sz w:val="21"/>
      <w:lang w:val="en-US" w:eastAsia="zh-CN" w:bidi="ar-SA"/>
    </w:rPr>
  </w:style>
  <w:style w:type="paragraph" w:customStyle="1" w:styleId="333">
    <w:name w:val="Char Char Char"/>
    <w:basedOn w:val="1"/>
    <w:qFormat/>
    <w:uiPriority w:val="0"/>
    <w:pPr>
      <w:adjustRightInd w:val="0"/>
      <w:spacing w:line="360" w:lineRule="auto"/>
    </w:pPr>
    <w:rPr>
      <w:rFonts w:eastAsia="宋体"/>
      <w:kern w:val="0"/>
      <w:sz w:val="24"/>
      <w:szCs w:val="20"/>
    </w:rPr>
  </w:style>
  <w:style w:type="paragraph" w:customStyle="1" w:styleId="334">
    <w:name w:val="CM56"/>
    <w:basedOn w:val="292"/>
    <w:next w:val="292"/>
    <w:qFormat/>
    <w:uiPriority w:val="0"/>
    <w:rPr>
      <w:rFonts w:cs="Times New Roman"/>
      <w:color w:val="auto"/>
    </w:rPr>
  </w:style>
  <w:style w:type="paragraph" w:customStyle="1" w:styleId="335">
    <w:name w:val="样式 标题 2 + 五号"/>
    <w:basedOn w:val="4"/>
    <w:qFormat/>
    <w:uiPriority w:val="0"/>
    <w:pPr>
      <w:keepNext/>
      <w:keepLines/>
      <w:numPr>
        <w:numId w:val="14"/>
      </w:numPr>
      <w:tabs>
        <w:tab w:val="left" w:pos="794"/>
        <w:tab w:val="left" w:pos="992"/>
      </w:tabs>
      <w:adjustRightInd w:val="0"/>
      <w:spacing w:before="0" w:after="0" w:line="360" w:lineRule="auto"/>
      <w:ind w:left="794" w:hanging="340"/>
      <w:jc w:val="both"/>
    </w:pPr>
    <w:rPr>
      <w:rFonts w:ascii="Arial" w:hAnsi="Arial" w:eastAsia="黑体"/>
      <w:bCs w:val="0"/>
      <w:sz w:val="24"/>
      <w:szCs w:val="24"/>
    </w:rPr>
  </w:style>
  <w:style w:type="paragraph" w:customStyle="1" w:styleId="336">
    <w:name w:val="条文 表"/>
    <w:next w:val="1"/>
    <w:qFormat/>
    <w:uiPriority w:val="0"/>
    <w:pPr>
      <w:numPr>
        <w:ilvl w:val="7"/>
        <w:numId w:val="9"/>
      </w:numPr>
      <w:jc w:val="center"/>
    </w:pPr>
    <w:rPr>
      <w:rFonts w:ascii="Times New Roman" w:hAnsi="Times New Roman" w:eastAsia="黑体" w:cs="Times New Roman"/>
      <w:sz w:val="21"/>
      <w:lang w:val="en-US" w:eastAsia="zh-CN" w:bidi="ar-SA"/>
    </w:rPr>
  </w:style>
  <w:style w:type="paragraph" w:customStyle="1" w:styleId="337">
    <w:name w:val="五号线1"/>
    <w:qFormat/>
    <w:uiPriority w:val="0"/>
    <w:pPr>
      <w:pageBreakBefore/>
      <w:tabs>
        <w:tab w:val="left" w:pos="720"/>
        <w:tab w:val="left" w:pos="1385"/>
      </w:tabs>
      <w:spacing w:before="120" w:after="120" w:line="500" w:lineRule="exact"/>
      <w:ind w:left="720" w:hanging="720"/>
      <w:jc w:val="center"/>
    </w:pPr>
    <w:rPr>
      <w:rFonts w:ascii="宋体" w:hAnsi="Times New Roman" w:eastAsia="宋体" w:cs="Times New Roman"/>
      <w:b/>
      <w:spacing w:val="6"/>
      <w:w w:val="95"/>
      <w:sz w:val="36"/>
      <w:lang w:val="en-US" w:eastAsia="zh-CN" w:bidi="ar-SA"/>
    </w:rPr>
  </w:style>
  <w:style w:type="paragraph" w:customStyle="1" w:styleId="338">
    <w:name w:val="column"/>
    <w:basedOn w:val="1"/>
    <w:semiHidden/>
    <w:qFormat/>
    <w:uiPriority w:val="99"/>
    <w:pPr>
      <w:spacing w:before="100" w:beforeAutospacing="1" w:after="100" w:afterAutospacing="1" w:line="360" w:lineRule="auto"/>
    </w:pPr>
    <w:rPr>
      <w:rFonts w:ascii="Calibri" w:hAnsi="Calibri" w:eastAsia="宋体"/>
      <w:sz w:val="24"/>
      <w:szCs w:val="22"/>
    </w:rPr>
  </w:style>
  <w:style w:type="paragraph" w:customStyle="1" w:styleId="339">
    <w:name w:val="CM76"/>
    <w:basedOn w:val="292"/>
    <w:next w:val="292"/>
    <w:qFormat/>
    <w:uiPriority w:val="0"/>
    <w:pPr>
      <w:spacing w:after="603"/>
    </w:pPr>
    <w:rPr>
      <w:rFonts w:cs="Times New Roman"/>
      <w:color w:val="auto"/>
    </w:rPr>
  </w:style>
  <w:style w:type="paragraph" w:customStyle="1" w:styleId="340">
    <w:name w:val="样式 目录 2 + 左侧:  2 字符"/>
    <w:basedOn w:val="74"/>
    <w:qFormat/>
    <w:uiPriority w:val="0"/>
    <w:pPr>
      <w:spacing w:line="360" w:lineRule="auto"/>
      <w:ind w:left="480" w:leftChars="200"/>
      <w:jc w:val="both"/>
    </w:pPr>
    <w:rPr>
      <w:rFonts w:ascii="Times New Roman" w:hAnsi="Times New Roman" w:eastAsia="宋体" w:cs="宋体"/>
      <w:smallCaps w:val="0"/>
      <w:sz w:val="24"/>
    </w:rPr>
  </w:style>
  <w:style w:type="paragraph" w:customStyle="1" w:styleId="341">
    <w:name w:val="CM15"/>
    <w:basedOn w:val="292"/>
    <w:next w:val="292"/>
    <w:qFormat/>
    <w:uiPriority w:val="0"/>
    <w:pPr>
      <w:spacing w:line="540" w:lineRule="atLeast"/>
    </w:pPr>
    <w:rPr>
      <w:rFonts w:cs="Times New Roman"/>
      <w:color w:val="auto"/>
    </w:rPr>
  </w:style>
  <w:style w:type="paragraph" w:customStyle="1" w:styleId="342">
    <w:name w:val="Sub Item List in Table Step"/>
    <w:basedOn w:val="1"/>
    <w:qFormat/>
    <w:uiPriority w:val="0"/>
    <w:pPr>
      <w:widowControl/>
      <w:tabs>
        <w:tab w:val="left" w:pos="568"/>
      </w:tabs>
      <w:topLinePunct/>
      <w:adjustRightInd w:val="0"/>
      <w:snapToGrid w:val="0"/>
      <w:spacing w:before="80" w:after="80" w:line="240" w:lineRule="atLeast"/>
      <w:ind w:left="568" w:hanging="284"/>
      <w:jc w:val="left"/>
    </w:pPr>
    <w:rPr>
      <w:rFonts w:hint="eastAsia" w:eastAsia="宋体" w:cs="Arial"/>
      <w:sz w:val="21"/>
      <w:szCs w:val="21"/>
    </w:rPr>
  </w:style>
  <w:style w:type="paragraph" w:customStyle="1" w:styleId="343">
    <w:name w:val="Table of Contents"/>
    <w:basedOn w:val="84"/>
    <w:qFormat/>
    <w:uiPriority w:val="0"/>
    <w:pPr>
      <w:widowControl/>
      <w:numPr>
        <w:ilvl w:val="0"/>
        <w:numId w:val="0"/>
      </w:numPr>
      <w:spacing w:after="480" w:line="240" w:lineRule="auto"/>
    </w:pPr>
    <w:rPr>
      <w:rFonts w:ascii="B Frutiger Bold" w:hAnsi="B Frutiger Bold" w:eastAsia="宋体"/>
      <w:bCs w:val="0"/>
      <w:kern w:val="0"/>
      <w:sz w:val="24"/>
      <w:szCs w:val="20"/>
      <w:lang w:val="en-AU"/>
    </w:rPr>
  </w:style>
  <w:style w:type="paragraph" w:customStyle="1" w:styleId="344">
    <w:name w:val="CM4"/>
    <w:basedOn w:val="292"/>
    <w:next w:val="292"/>
    <w:qFormat/>
    <w:uiPriority w:val="0"/>
    <w:pPr>
      <w:spacing w:line="540" w:lineRule="atLeast"/>
    </w:pPr>
    <w:rPr>
      <w:rFonts w:cs="Times New Roman"/>
      <w:color w:val="auto"/>
    </w:rPr>
  </w:style>
  <w:style w:type="paragraph" w:customStyle="1" w:styleId="345">
    <w:name w:val="CAUTION Text Step"/>
    <w:basedOn w:val="1"/>
    <w:qFormat/>
    <w:uiPriority w:val="0"/>
    <w:pPr>
      <w:keepNext/>
      <w:keepLines/>
      <w:widowControl/>
      <w:pBdr>
        <w:bottom w:val="single" w:color="auto" w:sz="12" w:space="4"/>
      </w:pBdr>
      <w:tabs>
        <w:tab w:val="left" w:pos="1985"/>
      </w:tabs>
      <w:topLinePunct/>
      <w:adjustRightInd w:val="0"/>
      <w:snapToGrid w:val="0"/>
      <w:spacing w:before="80" w:after="80" w:line="240" w:lineRule="atLeast"/>
      <w:ind w:left="1985" w:hanging="284"/>
      <w:jc w:val="left"/>
    </w:pPr>
    <w:rPr>
      <w:rFonts w:hint="eastAsia" w:eastAsia="楷体_GB2312" w:cs="Arial"/>
      <w:iCs/>
      <w:sz w:val="21"/>
      <w:szCs w:val="21"/>
    </w:rPr>
  </w:style>
  <w:style w:type="paragraph" w:customStyle="1" w:styleId="346">
    <w:name w:val="小标题一"/>
    <w:basedOn w:val="1"/>
    <w:next w:val="1"/>
    <w:qFormat/>
    <w:uiPriority w:val="0"/>
    <w:pPr>
      <w:tabs>
        <w:tab w:val="left" w:pos="2556"/>
      </w:tabs>
      <w:spacing w:line="500" w:lineRule="exact"/>
      <w:ind w:left="2184"/>
    </w:pPr>
    <w:rPr>
      <w:rFonts w:eastAsia="宋体"/>
      <w:szCs w:val="20"/>
    </w:rPr>
  </w:style>
  <w:style w:type="paragraph" w:customStyle="1" w:styleId="347">
    <w:name w:val="Char21"/>
    <w:basedOn w:val="1"/>
    <w:qFormat/>
    <w:uiPriority w:val="0"/>
    <w:pPr>
      <w:spacing w:line="240" w:lineRule="auto"/>
    </w:pPr>
    <w:rPr>
      <w:rFonts w:ascii="Tahoma" w:hAnsi="Tahoma" w:eastAsia="宋体"/>
      <w:sz w:val="24"/>
      <w:szCs w:val="20"/>
    </w:rPr>
  </w:style>
  <w:style w:type="paragraph" w:customStyle="1" w:styleId="348">
    <w:name w:val="标书正文"/>
    <w:basedOn w:val="1"/>
    <w:qFormat/>
    <w:uiPriority w:val="0"/>
    <w:pPr>
      <w:spacing w:line="360" w:lineRule="auto"/>
      <w:ind w:firstLine="200" w:firstLineChars="200"/>
    </w:pPr>
    <w:rPr>
      <w:rFonts w:eastAsia="宋体"/>
      <w:sz w:val="24"/>
    </w:rPr>
  </w:style>
  <w:style w:type="paragraph" w:customStyle="1" w:styleId="349">
    <w:name w:val="CM7"/>
    <w:basedOn w:val="292"/>
    <w:next w:val="292"/>
    <w:qFormat/>
    <w:uiPriority w:val="0"/>
    <w:pPr>
      <w:spacing w:line="628" w:lineRule="atLeast"/>
    </w:pPr>
    <w:rPr>
      <w:rFonts w:cs="Times New Roman"/>
      <w:color w:val="auto"/>
    </w:rPr>
  </w:style>
  <w:style w:type="paragraph" w:customStyle="1" w:styleId="350">
    <w:name w:val="Body2a"/>
    <w:basedOn w:val="1"/>
    <w:next w:val="1"/>
    <w:qFormat/>
    <w:uiPriority w:val="0"/>
    <w:pPr>
      <w:keepNext/>
      <w:widowControl/>
      <w:tabs>
        <w:tab w:val="left" w:pos="2592"/>
      </w:tabs>
      <w:spacing w:line="240" w:lineRule="auto"/>
      <w:ind w:left="1152"/>
      <w:jc w:val="left"/>
    </w:pPr>
    <w:rPr>
      <w:rFonts w:ascii="Arial" w:hAnsi="Arial" w:eastAsia="PMingLiU"/>
      <w:kern w:val="0"/>
      <w:sz w:val="24"/>
      <w:szCs w:val="20"/>
      <w:lang w:val="en-GB" w:eastAsia="zh-TW"/>
    </w:rPr>
  </w:style>
  <w:style w:type="paragraph" w:customStyle="1" w:styleId="351">
    <w:name w:val="自由格式"/>
    <w:qFormat/>
    <w:uiPriority w:val="0"/>
    <w:rPr>
      <w:rFonts w:ascii="Times New Roman" w:hAnsi="Times New Roman" w:eastAsia="ヒラギノ角ゴ Pro W3" w:cs="Times New Roman"/>
      <w:color w:val="000000"/>
      <w:lang w:val="en-US" w:eastAsia="zh-CN" w:bidi="ar-SA"/>
    </w:rPr>
  </w:style>
  <w:style w:type="paragraph" w:customStyle="1" w:styleId="352">
    <w:name w:val="样式 样式 首行缩进:  2 字符 + 首行缩进:  2 字符 段前: 1 行"/>
    <w:basedOn w:val="142"/>
    <w:qFormat/>
    <w:uiPriority w:val="0"/>
    <w:pPr>
      <w:spacing w:before="0" w:beforeLines="0" w:after="0" w:afterLines="0" w:line="500" w:lineRule="exact"/>
      <w:ind w:firstLine="200"/>
    </w:pPr>
    <w:rPr>
      <w:rFonts w:eastAsia="宋体"/>
      <w:color w:val="auto"/>
      <w:kern w:val="0"/>
      <w:sz w:val="24"/>
      <w:lang w:val="en-US"/>
    </w:rPr>
  </w:style>
  <w:style w:type="paragraph" w:customStyle="1" w:styleId="353">
    <w:name w:val="样式 标题 4 + 宋体"/>
    <w:basedOn w:val="7"/>
    <w:qFormat/>
    <w:uiPriority w:val="0"/>
    <w:pPr>
      <w:numPr>
        <w:numId w:val="15"/>
      </w:numPr>
      <w:tabs>
        <w:tab w:val="left" w:pos="720"/>
        <w:tab w:val="left" w:pos="1134"/>
      </w:tabs>
      <w:autoSpaceDE w:val="0"/>
      <w:autoSpaceDN w:val="0"/>
      <w:spacing w:line="360" w:lineRule="auto"/>
    </w:pPr>
    <w:rPr>
      <w:rFonts w:ascii="宋体" w:hAnsi="宋体" w:eastAsia="宋体"/>
      <w:bCs w:val="0"/>
      <w:sz w:val="21"/>
      <w:szCs w:val="20"/>
      <w:shd w:val="clear" w:color="auto" w:fill="FFFFFF"/>
    </w:rPr>
  </w:style>
  <w:style w:type="paragraph" w:customStyle="1" w:styleId="354">
    <w:name w:val="CM21"/>
    <w:basedOn w:val="292"/>
    <w:next w:val="292"/>
    <w:qFormat/>
    <w:uiPriority w:val="0"/>
    <w:pPr>
      <w:spacing w:line="626" w:lineRule="atLeast"/>
    </w:pPr>
    <w:rPr>
      <w:rFonts w:cs="Times New Roman"/>
      <w:color w:val="auto"/>
    </w:rPr>
  </w:style>
  <w:style w:type="paragraph" w:customStyle="1" w:styleId="355">
    <w:name w:val="表格内文"/>
    <w:basedOn w:val="1"/>
    <w:qFormat/>
    <w:uiPriority w:val="0"/>
    <w:pPr>
      <w:spacing w:before="50" w:line="360" w:lineRule="auto"/>
      <w:jc w:val="center"/>
    </w:pPr>
    <w:rPr>
      <w:rFonts w:ascii="宋体" w:eastAsia="宋体"/>
      <w:sz w:val="21"/>
    </w:rPr>
  </w:style>
  <w:style w:type="paragraph" w:customStyle="1" w:styleId="356">
    <w:name w:val="样式 样式 标题 1 + 五号 + (符号) 宋体"/>
    <w:basedOn w:val="331"/>
    <w:qFormat/>
    <w:uiPriority w:val="0"/>
    <w:pPr>
      <w:ind w:left="454"/>
    </w:pPr>
    <w:rPr>
      <w:sz w:val="28"/>
      <w:szCs w:val="28"/>
    </w:rPr>
  </w:style>
  <w:style w:type="paragraph" w:customStyle="1" w:styleId="357">
    <w:name w:val="报告正文"/>
    <w:basedOn w:val="1"/>
    <w:qFormat/>
    <w:uiPriority w:val="0"/>
    <w:rPr>
      <w:rFonts w:ascii="宋体" w:eastAsia="宋体"/>
      <w:color w:val="0000FF"/>
      <w:szCs w:val="20"/>
    </w:rPr>
  </w:style>
  <w:style w:type="paragraph" w:customStyle="1" w:styleId="358">
    <w:name w:val="列表框2"/>
    <w:basedOn w:val="359"/>
    <w:qFormat/>
    <w:uiPriority w:val="0"/>
    <w:pPr>
      <w:numPr>
        <w:ilvl w:val="0"/>
        <w:numId w:val="16"/>
      </w:numPr>
      <w:tabs>
        <w:tab w:val="left" w:pos="2018"/>
        <w:tab w:val="left" w:pos="2086"/>
        <w:tab w:val="left" w:pos="2325"/>
      </w:tabs>
      <w:ind w:left="2859" w:leftChars="810" w:right="-12" w:hanging="915" w:hangingChars="398"/>
    </w:pPr>
  </w:style>
  <w:style w:type="paragraph" w:customStyle="1" w:styleId="359">
    <w:name w:val="列表框1"/>
    <w:basedOn w:val="360"/>
    <w:next w:val="360"/>
    <w:qFormat/>
    <w:uiPriority w:val="0"/>
    <w:pPr>
      <w:tabs>
        <w:tab w:val="left" w:pos="2018"/>
        <w:tab w:val="left" w:pos="2086"/>
        <w:tab w:val="left" w:pos="2325"/>
      </w:tabs>
      <w:snapToGrid w:val="0"/>
      <w:ind w:left="2031" w:leftChars="665" w:hanging="435" w:hangingChars="189"/>
    </w:pPr>
    <w:rPr>
      <w:rFonts w:cs="Arial"/>
    </w:rPr>
  </w:style>
  <w:style w:type="paragraph" w:customStyle="1" w:styleId="360">
    <w:name w:val="应答文本 Char Char Char Char"/>
    <w:basedOn w:val="1"/>
    <w:qFormat/>
    <w:uiPriority w:val="0"/>
    <w:pPr>
      <w:adjustRightInd w:val="0"/>
      <w:spacing w:afterLines="50" w:line="320" w:lineRule="exact"/>
      <w:ind w:left="300" w:leftChars="300" w:firstLine="200" w:firstLineChars="200"/>
      <w:jc w:val="left"/>
    </w:pPr>
    <w:rPr>
      <w:rFonts w:ascii="Arial" w:hAnsi="Arial" w:eastAsia="楷体_GB2312" w:cs="宋体"/>
      <w:spacing w:val="10"/>
      <w:kern w:val="0"/>
      <w:sz w:val="21"/>
      <w:szCs w:val="20"/>
    </w:rPr>
  </w:style>
  <w:style w:type="paragraph" w:customStyle="1" w:styleId="361">
    <w:name w:val="样式 宋体 小四 行距: 1.5 倍行距"/>
    <w:basedOn w:val="1"/>
    <w:qFormat/>
    <w:uiPriority w:val="0"/>
    <w:pPr>
      <w:spacing w:line="240" w:lineRule="auto"/>
    </w:pPr>
    <w:rPr>
      <w:rFonts w:ascii="宋体" w:hAnsi="宋体" w:eastAsia="宋体"/>
      <w:kern w:val="10"/>
      <w:sz w:val="24"/>
      <w:szCs w:val="20"/>
    </w:rPr>
  </w:style>
  <w:style w:type="paragraph" w:customStyle="1" w:styleId="362">
    <w:name w:val="图表小四中对齐"/>
    <w:basedOn w:val="1"/>
    <w:qFormat/>
    <w:uiPriority w:val="0"/>
    <w:pPr>
      <w:adjustRightInd w:val="0"/>
      <w:spacing w:line="360" w:lineRule="exact"/>
      <w:jc w:val="center"/>
      <w:textAlignment w:val="baseline"/>
    </w:pPr>
    <w:rPr>
      <w:rFonts w:eastAsia="宋体"/>
      <w:spacing w:val="-10"/>
      <w:sz w:val="24"/>
      <w:szCs w:val="21"/>
    </w:rPr>
  </w:style>
  <w:style w:type="paragraph" w:customStyle="1" w:styleId="363">
    <w:name w:val="AOTOCTitle"/>
    <w:basedOn w:val="1"/>
    <w:next w:val="1"/>
    <w:qFormat/>
    <w:uiPriority w:val="0"/>
    <w:pPr>
      <w:widowControl/>
      <w:spacing w:before="240" w:line="260" w:lineRule="atLeast"/>
      <w:jc w:val="center"/>
    </w:pPr>
    <w:rPr>
      <w:rFonts w:eastAsia="宋体"/>
      <w:b/>
      <w:caps/>
      <w:kern w:val="0"/>
      <w:sz w:val="22"/>
      <w:szCs w:val="20"/>
      <w:lang w:val="en-GB" w:eastAsia="en-US"/>
    </w:rPr>
  </w:style>
  <w:style w:type="paragraph" w:customStyle="1" w:styleId="364">
    <w:name w:val="CM6"/>
    <w:basedOn w:val="292"/>
    <w:next w:val="292"/>
    <w:qFormat/>
    <w:uiPriority w:val="0"/>
    <w:pPr>
      <w:spacing w:line="626" w:lineRule="atLeast"/>
    </w:pPr>
    <w:rPr>
      <w:rFonts w:cs="Times New Roman"/>
      <w:color w:val="auto"/>
    </w:rPr>
  </w:style>
  <w:style w:type="paragraph" w:customStyle="1" w:styleId="365">
    <w:name w:val="CM9"/>
    <w:basedOn w:val="292"/>
    <w:next w:val="292"/>
    <w:qFormat/>
    <w:uiPriority w:val="0"/>
    <w:pPr>
      <w:spacing w:line="540" w:lineRule="atLeast"/>
    </w:pPr>
    <w:rPr>
      <w:rFonts w:cs="Times New Roman"/>
      <w:color w:val="auto"/>
    </w:rPr>
  </w:style>
  <w:style w:type="paragraph" w:customStyle="1" w:styleId="366">
    <w:name w:val="Sub Item Step in Table"/>
    <w:qFormat/>
    <w:uiPriority w:val="0"/>
    <w:pPr>
      <w:tabs>
        <w:tab w:val="left" w:pos="284"/>
      </w:tabs>
      <w:adjustRightInd w:val="0"/>
      <w:snapToGrid w:val="0"/>
      <w:spacing w:before="80" w:after="80" w:line="240" w:lineRule="atLeast"/>
      <w:ind w:left="568" w:hanging="284"/>
    </w:pPr>
    <w:rPr>
      <w:rFonts w:hint="eastAsia" w:ascii="Times New Roman" w:hAnsi="Times New Roman" w:eastAsia="宋体" w:cs="Arial"/>
      <w:sz w:val="21"/>
      <w:szCs w:val="21"/>
      <w:lang w:val="en-US" w:eastAsia="zh-CN" w:bidi="ar-SA"/>
    </w:rPr>
  </w:style>
  <w:style w:type="paragraph" w:customStyle="1" w:styleId="367">
    <w:name w:val="样式 标题 1 + 五号1"/>
    <w:basedOn w:val="3"/>
    <w:qFormat/>
    <w:uiPriority w:val="0"/>
    <w:pPr>
      <w:keepNext/>
      <w:keepLines/>
      <w:numPr>
        <w:ilvl w:val="0"/>
        <w:numId w:val="0"/>
      </w:numPr>
      <w:tabs>
        <w:tab w:val="left" w:pos="425"/>
        <w:tab w:val="left" w:pos="454"/>
      </w:tabs>
      <w:spacing w:before="0" w:after="0" w:line="360" w:lineRule="auto"/>
      <w:ind w:left="198" w:hanging="425"/>
      <w:jc w:val="both"/>
    </w:pPr>
    <w:rPr>
      <w:rFonts w:eastAsia="宋体"/>
      <w:sz w:val="28"/>
      <w:szCs w:val="28"/>
    </w:rPr>
  </w:style>
  <w:style w:type="paragraph" w:customStyle="1" w:styleId="368">
    <w:name w:val="表名称"/>
    <w:basedOn w:val="1"/>
    <w:next w:val="1"/>
    <w:qFormat/>
    <w:uiPriority w:val="0"/>
    <w:pPr>
      <w:tabs>
        <w:tab w:val="left" w:pos="2268"/>
        <w:tab w:val="center" w:pos="4536"/>
        <w:tab w:val="right" w:pos="6615"/>
        <w:tab w:val="center" w:pos="10773"/>
        <w:tab w:val="right" w:pos="18522"/>
      </w:tabs>
      <w:adjustRightInd w:val="0"/>
      <w:snapToGrid w:val="0"/>
      <w:ind w:right="48" w:rightChars="23"/>
      <w:jc w:val="center"/>
    </w:pPr>
    <w:rPr>
      <w:rFonts w:ascii="宋体" w:eastAsia="宋体"/>
      <w:sz w:val="21"/>
      <w:szCs w:val="21"/>
    </w:rPr>
  </w:style>
  <w:style w:type="paragraph" w:customStyle="1" w:styleId="369">
    <w:name w:val="原文"/>
    <w:basedOn w:val="1"/>
    <w:qFormat/>
    <w:uiPriority w:val="0"/>
    <w:pPr>
      <w:spacing w:line="520" w:lineRule="exact"/>
      <w:ind w:firstLine="480" w:firstLineChars="200"/>
    </w:pPr>
    <w:rPr>
      <w:rFonts w:eastAsia="宋体" w:cs="宋体"/>
      <w:kern w:val="0"/>
      <w:sz w:val="24"/>
    </w:rPr>
  </w:style>
  <w:style w:type="paragraph" w:customStyle="1" w:styleId="370">
    <w:name w:val="样式 宋体 行距: 1.5 倍行距5"/>
    <w:basedOn w:val="1"/>
    <w:next w:val="1"/>
    <w:qFormat/>
    <w:uiPriority w:val="0"/>
    <w:pPr>
      <w:spacing w:line="360" w:lineRule="auto"/>
    </w:pPr>
    <w:rPr>
      <w:rFonts w:ascii="宋体" w:hAnsi="宋体" w:eastAsia="宋体" w:cs="宋体"/>
      <w:kern w:val="0"/>
      <w:sz w:val="24"/>
      <w:szCs w:val="20"/>
    </w:rPr>
  </w:style>
  <w:style w:type="paragraph" w:customStyle="1" w:styleId="371">
    <w:name w:val="样式 标题 3 Char Char Char Char Char Char Char Char Char Char Char C..."/>
    <w:basedOn w:val="4"/>
    <w:qFormat/>
    <w:uiPriority w:val="0"/>
    <w:pPr>
      <w:keepNext/>
      <w:keepLines/>
      <w:numPr>
        <w:numId w:val="17"/>
      </w:numPr>
      <w:tabs>
        <w:tab w:val="left" w:pos="1680"/>
      </w:tabs>
      <w:snapToGrid w:val="0"/>
      <w:spacing w:before="0" w:after="0" w:line="360" w:lineRule="auto"/>
    </w:pPr>
    <w:rPr>
      <w:rFonts w:eastAsia="宋体"/>
      <w:sz w:val="24"/>
      <w:szCs w:val="32"/>
    </w:rPr>
  </w:style>
  <w:style w:type="paragraph" w:customStyle="1" w:styleId="372">
    <w:name w:val="xl57"/>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ascii="宋体" w:hAnsi="宋体" w:eastAsia="宋体"/>
      <w:kern w:val="0"/>
      <w:sz w:val="24"/>
      <w:szCs w:val="28"/>
    </w:rPr>
  </w:style>
  <w:style w:type="paragraph" w:customStyle="1" w:styleId="373">
    <w:name w:val="第四级"/>
    <w:basedOn w:val="1"/>
    <w:qFormat/>
    <w:uiPriority w:val="0"/>
    <w:pPr>
      <w:numPr>
        <w:ilvl w:val="0"/>
        <w:numId w:val="18"/>
      </w:numPr>
      <w:tabs>
        <w:tab w:val="left" w:pos="0"/>
      </w:tabs>
      <w:spacing w:line="500" w:lineRule="exact"/>
      <w:ind w:firstLine="200" w:firstLineChars="200"/>
    </w:pPr>
    <w:rPr>
      <w:rFonts w:eastAsia="宋体"/>
      <w:sz w:val="24"/>
    </w:rPr>
  </w:style>
  <w:style w:type="paragraph" w:customStyle="1" w:styleId="374">
    <w:name w:val="标书章号，自动编号"/>
    <w:basedOn w:val="1"/>
    <w:qFormat/>
    <w:uiPriority w:val="0"/>
    <w:pPr>
      <w:keepNext/>
      <w:keepLines/>
      <w:spacing w:before="340" w:after="330" w:line="578" w:lineRule="auto"/>
      <w:jc w:val="center"/>
      <w:outlineLvl w:val="0"/>
    </w:pPr>
    <w:rPr>
      <w:rFonts w:eastAsia="宋体"/>
      <w:b/>
      <w:bCs/>
      <w:kern w:val="44"/>
      <w:sz w:val="36"/>
      <w:szCs w:val="44"/>
    </w:rPr>
  </w:style>
  <w:style w:type="paragraph" w:customStyle="1" w:styleId="375">
    <w:name w:val="Char31"/>
    <w:basedOn w:val="1"/>
    <w:qFormat/>
    <w:uiPriority w:val="0"/>
    <w:pPr>
      <w:spacing w:line="240" w:lineRule="auto"/>
    </w:pPr>
    <w:rPr>
      <w:rFonts w:ascii="仿宋_GB2312" w:eastAsia="仿宋_GB2312"/>
      <w:b/>
      <w:sz w:val="32"/>
      <w:szCs w:val="32"/>
    </w:rPr>
  </w:style>
  <w:style w:type="paragraph" w:customStyle="1" w:styleId="376">
    <w:name w:val="Style Style Style Body Text + Justified + (Complex) Times New Roman..."/>
    <w:basedOn w:val="1"/>
    <w:qFormat/>
    <w:uiPriority w:val="0"/>
    <w:pPr>
      <w:tabs>
        <w:tab w:val="left" w:pos="4044"/>
      </w:tabs>
      <w:spacing w:line="240" w:lineRule="auto"/>
      <w:ind w:left="4044" w:hanging="454"/>
      <w:jc w:val="left"/>
    </w:pPr>
    <w:rPr>
      <w:rFonts w:eastAsia="PMingLiU"/>
      <w:snapToGrid w:val="0"/>
      <w:kern w:val="0"/>
      <w:sz w:val="24"/>
      <w:lang w:val="en-AU"/>
    </w:rPr>
  </w:style>
  <w:style w:type="paragraph" w:customStyle="1" w:styleId="377">
    <w:name w:val="Char Char Char1"/>
    <w:basedOn w:val="26"/>
    <w:qFormat/>
    <w:uiPriority w:val="0"/>
    <w:pPr>
      <w:adjustRightInd w:val="0"/>
      <w:spacing w:line="436" w:lineRule="exact"/>
      <w:ind w:left="357"/>
      <w:jc w:val="left"/>
      <w:outlineLvl w:val="3"/>
    </w:pPr>
    <w:rPr>
      <w:rFonts w:ascii="Tahoma" w:hAnsi="Tahoma" w:eastAsia="宋体"/>
      <w:b/>
      <w:sz w:val="24"/>
    </w:rPr>
  </w:style>
  <w:style w:type="paragraph" w:customStyle="1" w:styleId="378">
    <w:name w:val="条文 4"/>
    <w:next w:val="1"/>
    <w:qFormat/>
    <w:uiPriority w:val="0"/>
    <w:pPr>
      <w:numPr>
        <w:ilvl w:val="5"/>
        <w:numId w:val="9"/>
      </w:numPr>
      <w:spacing w:line="310" w:lineRule="exact"/>
    </w:pPr>
    <w:rPr>
      <w:rFonts w:ascii="Times New Roman" w:hAnsi="Times New Roman" w:eastAsia="黑体" w:cs="Times New Roman"/>
      <w:sz w:val="21"/>
      <w:lang w:val="en-US" w:eastAsia="zh-CN" w:bidi="ar-SA"/>
    </w:rPr>
  </w:style>
  <w:style w:type="paragraph" w:customStyle="1" w:styleId="379">
    <w:name w:val="Subhead 1"/>
    <w:basedOn w:val="328"/>
    <w:qFormat/>
    <w:uiPriority w:val="0"/>
    <w:pPr>
      <w:keepNext/>
      <w:pageBreakBefore w:val="0"/>
      <w:widowControl/>
      <w:tabs>
        <w:tab w:val="left" w:pos="1134"/>
      </w:tabs>
      <w:spacing w:before="510" w:after="0" w:line="420" w:lineRule="atLeast"/>
      <w:ind w:left="1134" w:hanging="1134"/>
    </w:pPr>
    <w:rPr>
      <w:sz w:val="32"/>
    </w:rPr>
  </w:style>
  <w:style w:type="paragraph" w:customStyle="1" w:styleId="380">
    <w:name w:val="Appendix Index level 2"/>
    <w:basedOn w:val="1"/>
    <w:qFormat/>
    <w:uiPriority w:val="0"/>
    <w:pPr>
      <w:tabs>
        <w:tab w:val="left" w:pos="567"/>
      </w:tabs>
      <w:spacing w:line="240" w:lineRule="auto"/>
      <w:ind w:left="567" w:hanging="567"/>
      <w:jc w:val="left"/>
    </w:pPr>
    <w:rPr>
      <w:rFonts w:eastAsia="PMingLiU"/>
      <w:snapToGrid w:val="0"/>
      <w:kern w:val="0"/>
      <w:sz w:val="24"/>
      <w:lang w:val="en-AU" w:eastAsia="en-US"/>
    </w:rPr>
  </w:style>
  <w:style w:type="paragraph" w:customStyle="1" w:styleId="381">
    <w:name w:val="l9标题3"/>
    <w:basedOn w:val="1"/>
    <w:qFormat/>
    <w:uiPriority w:val="0"/>
    <w:pPr>
      <w:spacing w:line="240" w:lineRule="auto"/>
    </w:pPr>
    <w:rPr>
      <w:rFonts w:eastAsia="宋体"/>
      <w:kern w:val="0"/>
      <w:sz w:val="24"/>
      <w:lang w:val="zh-CN"/>
    </w:rPr>
  </w:style>
  <w:style w:type="paragraph" w:customStyle="1" w:styleId="382">
    <w:name w:val="char"/>
    <w:basedOn w:val="1"/>
    <w:qFormat/>
    <w:uiPriority w:val="0"/>
    <w:pPr>
      <w:widowControl/>
      <w:spacing w:before="156" w:beforeLines="50" w:line="360" w:lineRule="exact"/>
      <w:ind w:firstLine="482" w:firstLineChars="200"/>
    </w:pPr>
    <w:rPr>
      <w:rFonts w:eastAsia="宋体"/>
      <w:b/>
      <w:color w:val="000000"/>
      <w:kern w:val="0"/>
      <w:sz w:val="24"/>
    </w:rPr>
  </w:style>
  <w:style w:type="paragraph" w:customStyle="1" w:styleId="383">
    <w:name w:val="标书三级标题，自动编号"/>
    <w:basedOn w:val="7"/>
    <w:qFormat/>
    <w:uiPriority w:val="0"/>
    <w:pPr>
      <w:keepNext/>
      <w:keepLines/>
      <w:numPr>
        <w:ilvl w:val="0"/>
        <w:numId w:val="0"/>
      </w:numPr>
      <w:spacing w:before="120" w:after="120" w:line="377" w:lineRule="auto"/>
    </w:pPr>
    <w:rPr>
      <w:rFonts w:ascii="Arial" w:hAnsi="Arial" w:eastAsia="黑体"/>
      <w:sz w:val="24"/>
    </w:rPr>
  </w:style>
  <w:style w:type="paragraph" w:customStyle="1" w:styleId="384">
    <w:name w:val="."/>
    <w:basedOn w:val="1"/>
    <w:qFormat/>
    <w:uiPriority w:val="0"/>
    <w:pPr>
      <w:widowControl/>
      <w:numPr>
        <w:ilvl w:val="0"/>
        <w:numId w:val="19"/>
      </w:numPr>
      <w:tabs>
        <w:tab w:val="left" w:pos="0"/>
      </w:tabs>
      <w:overflowPunct w:val="0"/>
      <w:autoSpaceDE w:val="0"/>
      <w:autoSpaceDN w:val="0"/>
      <w:adjustRightInd w:val="0"/>
      <w:spacing w:before="120" w:line="300" w:lineRule="auto"/>
      <w:ind w:right="-85"/>
      <w:textAlignment w:val="baseline"/>
    </w:pPr>
    <w:rPr>
      <w:rFonts w:ascii="宋体" w:hAnsi="Arial" w:eastAsia="宋体"/>
      <w:kern w:val="0"/>
      <w:sz w:val="24"/>
      <w:szCs w:val="20"/>
    </w:rPr>
  </w:style>
  <w:style w:type="paragraph" w:customStyle="1" w:styleId="385">
    <w:name w:val="CM75"/>
    <w:basedOn w:val="292"/>
    <w:next w:val="292"/>
    <w:qFormat/>
    <w:uiPriority w:val="0"/>
    <w:pPr>
      <w:spacing w:after="400"/>
    </w:pPr>
    <w:rPr>
      <w:rFonts w:cs="Times New Roman"/>
      <w:color w:val="auto"/>
    </w:rPr>
  </w:style>
  <w:style w:type="paragraph" w:customStyle="1" w:styleId="386">
    <w:name w:val="Char Char Char Char"/>
    <w:basedOn w:val="1"/>
    <w:qFormat/>
    <w:uiPriority w:val="0"/>
    <w:pPr>
      <w:spacing w:line="240" w:lineRule="auto"/>
    </w:pPr>
    <w:rPr>
      <w:rFonts w:ascii="仿宋_GB2312" w:eastAsia="仿宋_GB2312"/>
      <w:b/>
      <w:sz w:val="32"/>
      <w:szCs w:val="32"/>
    </w:rPr>
  </w:style>
  <w:style w:type="paragraph" w:customStyle="1" w:styleId="387">
    <w:name w:val="Appendix Index"/>
    <w:basedOn w:val="1"/>
    <w:qFormat/>
    <w:uiPriority w:val="0"/>
    <w:pPr>
      <w:tabs>
        <w:tab w:val="left" w:pos="432"/>
      </w:tabs>
      <w:spacing w:line="240" w:lineRule="auto"/>
      <w:ind w:left="432" w:hanging="432"/>
      <w:jc w:val="left"/>
    </w:pPr>
    <w:rPr>
      <w:rFonts w:eastAsia="PMingLiU"/>
      <w:snapToGrid w:val="0"/>
      <w:kern w:val="0"/>
      <w:sz w:val="24"/>
      <w:lang w:val="en-AU"/>
    </w:rPr>
  </w:style>
  <w:style w:type="paragraph" w:customStyle="1" w:styleId="388">
    <w:name w:val="xl24"/>
    <w:basedOn w:val="1"/>
    <w:qFormat/>
    <w:uiPriority w:val="0"/>
    <w:pPr>
      <w:widowControl/>
      <w:spacing w:before="100" w:beforeAutospacing="1" w:after="100" w:afterAutospacing="1" w:line="240" w:lineRule="auto"/>
      <w:jc w:val="left"/>
    </w:pPr>
    <w:rPr>
      <w:rFonts w:eastAsia="宋体"/>
      <w:kern w:val="0"/>
      <w:sz w:val="24"/>
    </w:rPr>
  </w:style>
  <w:style w:type="paragraph" w:customStyle="1" w:styleId="389">
    <w:name w:val="表格内文字"/>
    <w:basedOn w:val="1"/>
    <w:qFormat/>
    <w:uiPriority w:val="0"/>
    <w:pPr>
      <w:adjustRightInd w:val="0"/>
      <w:snapToGrid w:val="0"/>
      <w:spacing w:beforeLines="50" w:line="240" w:lineRule="atLeast"/>
      <w:ind w:left="250" w:leftChars="250"/>
      <w:jc w:val="center"/>
    </w:pPr>
    <w:rPr>
      <w:rFonts w:eastAsia="宋体"/>
      <w:sz w:val="24"/>
      <w:szCs w:val="21"/>
    </w:rPr>
  </w:style>
  <w:style w:type="paragraph" w:customStyle="1" w:styleId="390">
    <w:name w:val="样式 宋体 行距: 1.5 倍行距"/>
    <w:basedOn w:val="1"/>
    <w:qFormat/>
    <w:uiPriority w:val="0"/>
    <w:pPr>
      <w:spacing w:line="240" w:lineRule="auto"/>
    </w:pPr>
    <w:rPr>
      <w:rFonts w:ascii="宋体" w:hAnsi="宋体" w:eastAsia="宋体"/>
      <w:sz w:val="21"/>
      <w:szCs w:val="20"/>
    </w:rPr>
  </w:style>
  <w:style w:type="paragraph" w:customStyle="1" w:styleId="391">
    <w:name w:val="Char Char Char Char1"/>
    <w:basedOn w:val="1"/>
    <w:qFormat/>
    <w:uiPriority w:val="0"/>
    <w:pPr>
      <w:spacing w:line="240" w:lineRule="auto"/>
    </w:pPr>
    <w:rPr>
      <w:rFonts w:ascii="仿宋_GB2312" w:eastAsia="仿宋_GB2312"/>
      <w:b/>
      <w:sz w:val="32"/>
      <w:szCs w:val="32"/>
    </w:rPr>
  </w:style>
  <w:style w:type="paragraph" w:customStyle="1" w:styleId="392">
    <w:name w:val="Item List in Table"/>
    <w:basedOn w:val="1"/>
    <w:qFormat/>
    <w:uiPriority w:val="0"/>
    <w:pPr>
      <w:numPr>
        <w:ilvl w:val="0"/>
        <w:numId w:val="20"/>
      </w:numPr>
      <w:tabs>
        <w:tab w:val="left" w:pos="170"/>
      </w:tabs>
      <w:topLinePunct/>
      <w:adjustRightInd w:val="0"/>
      <w:snapToGrid w:val="0"/>
      <w:spacing w:before="80" w:after="80" w:line="240" w:lineRule="atLeast"/>
      <w:jc w:val="left"/>
    </w:pPr>
    <w:rPr>
      <w:rFonts w:eastAsia="宋体" w:cs="Arial"/>
      <w:kern w:val="0"/>
      <w:sz w:val="21"/>
      <w:szCs w:val="21"/>
    </w:rPr>
  </w:style>
  <w:style w:type="paragraph" w:customStyle="1" w:styleId="393">
    <w:name w:val="2节号"/>
    <w:basedOn w:val="4"/>
    <w:qFormat/>
    <w:uiPriority w:val="0"/>
    <w:pPr>
      <w:keepNext/>
      <w:keepLines/>
      <w:numPr>
        <w:ilvl w:val="0"/>
        <w:numId w:val="0"/>
      </w:numPr>
      <w:tabs>
        <w:tab w:val="left" w:pos="794"/>
        <w:tab w:val="left" w:pos="992"/>
      </w:tabs>
      <w:adjustRightInd w:val="0"/>
      <w:snapToGrid w:val="0"/>
      <w:spacing w:before="0" w:beforeLines="50" w:after="0" w:afterLines="50" w:line="480" w:lineRule="exact"/>
      <w:ind w:left="794" w:hanging="340"/>
      <w:jc w:val="both"/>
    </w:pPr>
    <w:rPr>
      <w:rFonts w:ascii="黑体" w:hAnsi="Arial" w:eastAsia="黑体"/>
      <w:b w:val="0"/>
      <w:color w:val="000000"/>
      <w:sz w:val="28"/>
    </w:rPr>
  </w:style>
  <w:style w:type="paragraph" w:customStyle="1" w:styleId="394">
    <w:name w:val="标题四"/>
    <w:basedOn w:val="395"/>
    <w:semiHidden/>
    <w:qFormat/>
    <w:uiPriority w:val="0"/>
    <w:pPr>
      <w:numPr>
        <w:ilvl w:val="4"/>
        <w:numId w:val="21"/>
      </w:numPr>
      <w:tabs>
        <w:tab w:val="left" w:pos="0"/>
        <w:tab w:val="left" w:pos="851"/>
      </w:tabs>
      <w:spacing w:line="360" w:lineRule="auto"/>
    </w:pPr>
    <w:rPr>
      <w:rFonts w:ascii="Tahoma" w:hAnsi="Tahoma"/>
      <w:sz w:val="24"/>
      <w:szCs w:val="24"/>
    </w:rPr>
  </w:style>
  <w:style w:type="paragraph" w:customStyle="1" w:styleId="395">
    <w:name w:val="招标文件1.1.1"/>
    <w:qFormat/>
    <w:uiPriority w:val="0"/>
    <w:pPr>
      <w:numPr>
        <w:ilvl w:val="3"/>
        <w:numId w:val="5"/>
      </w:numPr>
      <w:spacing w:before="120" w:after="120" w:line="480" w:lineRule="exact"/>
      <w:outlineLvl w:val="3"/>
    </w:pPr>
    <w:rPr>
      <w:rFonts w:ascii="宋体" w:hAnsi="Times New Roman" w:eastAsia="宋体" w:cs="Times New Roman"/>
      <w:b/>
      <w:spacing w:val="10"/>
      <w:w w:val="95"/>
      <w:sz w:val="21"/>
      <w:lang w:val="en-US" w:eastAsia="zh-CN" w:bidi="ar-SA"/>
    </w:rPr>
  </w:style>
  <w:style w:type="paragraph" w:customStyle="1" w:styleId="396">
    <w:name w:val="Subhead 3"/>
    <w:basedOn w:val="397"/>
    <w:qFormat/>
    <w:uiPriority w:val="0"/>
    <w:pPr>
      <w:keepNext w:val="0"/>
      <w:pageBreakBefore/>
      <w:widowControl w:val="0"/>
      <w:tabs>
        <w:tab w:val="left" w:pos="1134"/>
        <w:tab w:val="left" w:pos="1701"/>
        <w:tab w:val="left" w:pos="2552"/>
      </w:tabs>
      <w:spacing w:before="680" w:after="1134" w:line="900" w:lineRule="atLeast"/>
      <w:ind w:left="1701" w:hanging="1701"/>
      <w:jc w:val="center"/>
    </w:pPr>
    <w:rPr>
      <w:spacing w:val="-35"/>
      <w:sz w:val="72"/>
    </w:rPr>
  </w:style>
  <w:style w:type="paragraph" w:customStyle="1" w:styleId="397">
    <w:name w:val="Subhead 2"/>
    <w:basedOn w:val="379"/>
    <w:qFormat/>
    <w:uiPriority w:val="0"/>
    <w:pPr>
      <w:spacing w:before="340" w:line="360" w:lineRule="atLeast"/>
    </w:pPr>
    <w:rPr>
      <w:sz w:val="28"/>
    </w:rPr>
  </w:style>
  <w:style w:type="paragraph" w:customStyle="1" w:styleId="398">
    <w:name w:val="_Style 240"/>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99">
    <w:name w:val="图形布置"/>
    <w:qFormat/>
    <w:uiPriority w:val="0"/>
    <w:pPr>
      <w:jc w:val="center"/>
    </w:pPr>
    <w:rPr>
      <w:rFonts w:ascii="Times New Roman" w:hAnsi="Times New Roman" w:eastAsia="宋体" w:cs="宋体"/>
      <w:sz w:val="21"/>
      <w:szCs w:val="36"/>
      <w:lang w:val="en-US" w:eastAsia="zh-CN" w:bidi="ar-SA"/>
    </w:rPr>
  </w:style>
  <w:style w:type="paragraph" w:customStyle="1" w:styleId="400">
    <w:name w:val="CM19"/>
    <w:basedOn w:val="292"/>
    <w:next w:val="292"/>
    <w:qFormat/>
    <w:uiPriority w:val="0"/>
    <w:pPr>
      <w:spacing w:line="540" w:lineRule="atLeast"/>
    </w:pPr>
    <w:rPr>
      <w:rFonts w:cs="Times New Roman"/>
      <w:color w:val="auto"/>
    </w:rPr>
  </w:style>
  <w:style w:type="paragraph" w:customStyle="1" w:styleId="401">
    <w:name w:val="CM1"/>
    <w:basedOn w:val="292"/>
    <w:next w:val="292"/>
    <w:qFormat/>
    <w:uiPriority w:val="0"/>
    <w:rPr>
      <w:rFonts w:cs="Times New Roman"/>
      <w:color w:val="auto"/>
    </w:rPr>
  </w:style>
  <w:style w:type="paragraph" w:customStyle="1" w:styleId="402">
    <w:name w:val="样式 题注 + 首行缩进:  2 字符"/>
    <w:basedOn w:val="22"/>
    <w:qFormat/>
    <w:uiPriority w:val="0"/>
    <w:pPr>
      <w:adjustRightInd w:val="0"/>
      <w:snapToGrid w:val="0"/>
      <w:spacing w:line="500" w:lineRule="exact"/>
      <w:jc w:val="center"/>
    </w:pPr>
    <w:rPr>
      <w:rFonts w:eastAsia="宋体" w:cs="Times New Roman"/>
      <w:snapToGrid w:val="0"/>
      <w:kern w:val="24"/>
      <w:sz w:val="24"/>
      <w:szCs w:val="24"/>
    </w:rPr>
  </w:style>
  <w:style w:type="paragraph" w:customStyle="1" w:styleId="403">
    <w:name w:val="文档正文"/>
    <w:basedOn w:val="1"/>
    <w:qFormat/>
    <w:uiPriority w:val="0"/>
    <w:pPr>
      <w:spacing w:line="360" w:lineRule="auto"/>
      <w:ind w:firstLine="200" w:firstLineChars="200"/>
    </w:pPr>
    <w:rPr>
      <w:rFonts w:ascii="宋体" w:hAnsi="宋体" w:eastAsia="宋体"/>
      <w:sz w:val="24"/>
    </w:rPr>
  </w:style>
  <w:style w:type="paragraph" w:customStyle="1" w:styleId="404">
    <w:name w:val="样式 目录 1 + 首行缩进:  2 字符"/>
    <w:basedOn w:val="59"/>
    <w:qFormat/>
    <w:uiPriority w:val="0"/>
    <w:pPr>
      <w:tabs>
        <w:tab w:val="left" w:pos="1260"/>
        <w:tab w:val="right" w:leader="dot" w:pos="8647"/>
      </w:tabs>
      <w:spacing w:before="0" w:after="0" w:line="360" w:lineRule="auto"/>
      <w:jc w:val="both"/>
    </w:pPr>
    <w:rPr>
      <w:rFonts w:ascii="Times New Roman" w:hAnsi="Times New Roman" w:eastAsia="宋体" w:cs="宋体"/>
      <w:b w:val="0"/>
      <w:bCs w:val="0"/>
      <w:caps w:val="0"/>
      <w:sz w:val="24"/>
    </w:rPr>
  </w:style>
  <w:style w:type="paragraph" w:customStyle="1" w:styleId="405">
    <w:name w:val="Notes Text Step"/>
    <w:basedOn w:val="345"/>
    <w:qFormat/>
    <w:uiPriority w:val="0"/>
    <w:pPr>
      <w:pBdr>
        <w:bottom w:val="none" w:color="auto" w:sz="0" w:space="0"/>
      </w:pBdr>
      <w:tabs>
        <w:tab w:val="left" w:pos="2359"/>
        <w:tab w:val="clear" w:pos="1985"/>
      </w:tabs>
      <w:spacing w:before="40" w:line="200" w:lineRule="atLeast"/>
      <w:ind w:left="2359"/>
    </w:pPr>
    <w:rPr>
      <w:sz w:val="18"/>
      <w:szCs w:val="18"/>
    </w:rPr>
  </w:style>
  <w:style w:type="paragraph" w:customStyle="1" w:styleId="406">
    <w:name w:val="t1"/>
    <w:basedOn w:val="1"/>
    <w:qFormat/>
    <w:uiPriority w:val="0"/>
    <w:pPr>
      <w:tabs>
        <w:tab w:val="left" w:pos="420"/>
        <w:tab w:val="left" w:pos="879"/>
      </w:tabs>
      <w:spacing w:after="120" w:line="360" w:lineRule="auto"/>
      <w:ind w:left="1155" w:hanging="215"/>
    </w:pPr>
    <w:rPr>
      <w:rFonts w:ascii="宋体" w:eastAsia="宋体"/>
      <w:sz w:val="24"/>
      <w:szCs w:val="20"/>
    </w:rPr>
  </w:style>
  <w:style w:type="paragraph" w:customStyle="1" w:styleId="407">
    <w:name w:val="Char Char Char Char Char Char Char"/>
    <w:basedOn w:val="1"/>
    <w:qFormat/>
    <w:uiPriority w:val="0"/>
    <w:pPr>
      <w:widowControl/>
      <w:adjustRightInd w:val="0"/>
      <w:snapToGrid w:val="0"/>
      <w:spacing w:line="360" w:lineRule="auto"/>
      <w:ind w:firstLine="200" w:firstLineChars="200"/>
      <w:jc w:val="left"/>
    </w:pPr>
    <w:rPr>
      <w:rFonts w:ascii="Tahoma" w:hAnsi="Tahoma" w:eastAsia="宋体" w:cs="Tahoma"/>
      <w:kern w:val="0"/>
      <w:sz w:val="20"/>
      <w:szCs w:val="20"/>
      <w:lang w:eastAsia="en-US"/>
    </w:rPr>
  </w:style>
  <w:style w:type="paragraph" w:customStyle="1" w:styleId="408">
    <w:name w:val="_Style 237"/>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9">
    <w:name w:val="简单回函地址"/>
    <w:basedOn w:val="1"/>
    <w:qFormat/>
    <w:uiPriority w:val="0"/>
    <w:pPr>
      <w:spacing w:before="240" w:line="360" w:lineRule="auto"/>
    </w:pPr>
    <w:rPr>
      <w:rFonts w:ascii="宋体" w:eastAsia="宋体"/>
      <w:sz w:val="21"/>
      <w:szCs w:val="20"/>
    </w:rPr>
  </w:style>
  <w:style w:type="paragraph" w:customStyle="1" w:styleId="410">
    <w:name w:val="xl28"/>
    <w:basedOn w:val="1"/>
    <w:qFormat/>
    <w:uiPriority w:val="0"/>
    <w:pPr>
      <w:widowControl/>
      <w:spacing w:before="100" w:beforeAutospacing="1" w:after="100" w:afterAutospacing="1" w:line="240" w:lineRule="auto"/>
      <w:jc w:val="center"/>
    </w:pPr>
    <w:rPr>
      <w:rFonts w:eastAsia="宋体"/>
      <w:kern w:val="0"/>
      <w:sz w:val="24"/>
    </w:rPr>
  </w:style>
  <w:style w:type="paragraph" w:customStyle="1" w:styleId="411">
    <w:name w:val="目录"/>
    <w:basedOn w:val="1"/>
    <w:next w:val="1"/>
    <w:qFormat/>
    <w:uiPriority w:val="0"/>
    <w:pPr>
      <w:spacing w:before="240" w:line="360" w:lineRule="auto"/>
      <w:jc w:val="center"/>
    </w:pPr>
    <w:rPr>
      <w:rFonts w:ascii="宋体" w:eastAsia="宋体"/>
      <w:b/>
      <w:sz w:val="24"/>
      <w:szCs w:val="20"/>
    </w:rPr>
  </w:style>
  <w:style w:type="paragraph" w:customStyle="1" w:styleId="412">
    <w:name w:val="正文111"/>
    <w:basedOn w:val="1"/>
    <w:qFormat/>
    <w:uiPriority w:val="0"/>
    <w:pPr>
      <w:numPr>
        <w:ilvl w:val="0"/>
        <w:numId w:val="22"/>
      </w:numPr>
      <w:tabs>
        <w:tab w:val="left" w:pos="840"/>
      </w:tabs>
      <w:snapToGrid w:val="0"/>
      <w:spacing w:line="500" w:lineRule="exact"/>
    </w:pPr>
    <w:rPr>
      <w:rFonts w:ascii="宋体" w:hAnsi="宋体" w:eastAsia="宋体"/>
      <w:sz w:val="24"/>
      <w:szCs w:val="20"/>
    </w:rPr>
  </w:style>
  <w:style w:type="paragraph" w:customStyle="1" w:styleId="413">
    <w:name w:val="应答文本"/>
    <w:basedOn w:val="1"/>
    <w:qFormat/>
    <w:uiPriority w:val="0"/>
    <w:pPr>
      <w:adjustRightInd w:val="0"/>
      <w:spacing w:afterLines="50" w:line="320" w:lineRule="exact"/>
      <w:ind w:left="630" w:leftChars="300" w:firstLine="460" w:firstLineChars="200"/>
    </w:pPr>
    <w:rPr>
      <w:rFonts w:ascii="Arial" w:hAnsi="Arial" w:eastAsia="楷体_GB2312" w:cs="宋体"/>
      <w:spacing w:val="10"/>
      <w:sz w:val="21"/>
    </w:rPr>
  </w:style>
  <w:style w:type="paragraph" w:customStyle="1" w:styleId="414">
    <w:name w:val="Char Char2"/>
    <w:basedOn w:val="1"/>
    <w:qFormat/>
    <w:uiPriority w:val="0"/>
    <w:pPr>
      <w:spacing w:line="240" w:lineRule="auto"/>
    </w:pPr>
    <w:rPr>
      <w:rFonts w:ascii="Tahoma" w:hAnsi="Tahoma" w:eastAsia="宋体"/>
      <w:sz w:val="24"/>
      <w:szCs w:val="20"/>
    </w:rPr>
  </w:style>
  <w:style w:type="paragraph" w:customStyle="1" w:styleId="415">
    <w:name w:val="Char Char Char Char Char"/>
    <w:basedOn w:val="1"/>
    <w:qFormat/>
    <w:uiPriority w:val="0"/>
    <w:pPr>
      <w:spacing w:line="240" w:lineRule="auto"/>
    </w:pPr>
    <w:rPr>
      <w:rFonts w:ascii="Tahoma" w:hAnsi="Tahoma" w:eastAsia="宋体"/>
      <w:sz w:val="24"/>
      <w:szCs w:val="20"/>
    </w:rPr>
  </w:style>
  <w:style w:type="paragraph" w:customStyle="1" w:styleId="416">
    <w:name w:val="CM16"/>
    <w:basedOn w:val="292"/>
    <w:next w:val="292"/>
    <w:qFormat/>
    <w:uiPriority w:val="0"/>
    <w:pPr>
      <w:spacing w:line="540" w:lineRule="atLeast"/>
    </w:pPr>
    <w:rPr>
      <w:rFonts w:cs="Times New Roman"/>
      <w:color w:val="auto"/>
    </w:rPr>
  </w:style>
  <w:style w:type="paragraph" w:customStyle="1" w:styleId="417">
    <w:name w:val="Char Char Char Char Char Char1 Char Char Char Char"/>
    <w:basedOn w:val="1"/>
    <w:qFormat/>
    <w:uiPriority w:val="0"/>
    <w:pPr>
      <w:spacing w:line="240" w:lineRule="auto"/>
    </w:pPr>
    <w:rPr>
      <w:rFonts w:ascii="仿宋_GB2312" w:eastAsia="仿宋_GB2312"/>
      <w:b/>
      <w:sz w:val="32"/>
      <w:szCs w:val="32"/>
    </w:rPr>
  </w:style>
  <w:style w:type="paragraph" w:customStyle="1" w:styleId="418">
    <w:name w:val="2"/>
    <w:basedOn w:val="1"/>
    <w:next w:val="35"/>
    <w:qFormat/>
    <w:uiPriority w:val="0"/>
    <w:pPr>
      <w:spacing w:line="360" w:lineRule="auto"/>
      <w:ind w:left="718" w:leftChars="342"/>
    </w:pPr>
    <w:rPr>
      <w:rFonts w:ascii="宋体" w:hAnsi="宋体" w:eastAsia="宋体"/>
      <w:color w:val="000000"/>
      <w:sz w:val="21"/>
    </w:rPr>
  </w:style>
  <w:style w:type="paragraph" w:customStyle="1" w:styleId="419">
    <w:name w:val="香奈儿 1"/>
    <w:basedOn w:val="16"/>
    <w:next w:val="86"/>
    <w:qFormat/>
    <w:uiPriority w:val="0"/>
    <w:pPr>
      <w:widowControl/>
      <w:numPr>
        <w:ilvl w:val="0"/>
        <w:numId w:val="23"/>
      </w:numPr>
      <w:tabs>
        <w:tab w:val="left" w:pos="397"/>
      </w:tabs>
      <w:spacing w:before="100" w:after="100" w:line="240" w:lineRule="auto"/>
      <w:ind w:left="0" w:leftChars="0"/>
    </w:pPr>
    <w:rPr>
      <w:rFonts w:eastAsia="宋体"/>
      <w:sz w:val="24"/>
      <w:szCs w:val="20"/>
    </w:rPr>
  </w:style>
  <w:style w:type="paragraph" w:customStyle="1" w:styleId="420">
    <w:name w:val="Char Char Char Char Char1"/>
    <w:basedOn w:val="1"/>
    <w:qFormat/>
    <w:uiPriority w:val="0"/>
    <w:pPr>
      <w:spacing w:line="240" w:lineRule="auto"/>
      <w:ind w:firstLine="150" w:firstLineChars="150"/>
      <w:jc w:val="left"/>
    </w:pPr>
    <w:rPr>
      <w:rFonts w:ascii="Tahoma" w:hAnsi="Tahoma" w:eastAsia="宋体"/>
      <w:sz w:val="24"/>
      <w:szCs w:val="20"/>
    </w:rPr>
  </w:style>
  <w:style w:type="paragraph" w:customStyle="1" w:styleId="421">
    <w:name w:val="Sub Item Step in Table List"/>
    <w:qFormat/>
    <w:uiPriority w:val="0"/>
    <w:pPr>
      <w:tabs>
        <w:tab w:val="left" w:pos="284"/>
      </w:tabs>
      <w:adjustRightInd w:val="0"/>
      <w:snapToGrid w:val="0"/>
      <w:spacing w:before="80" w:after="80" w:line="240" w:lineRule="atLeast"/>
      <w:ind w:left="568" w:hanging="284"/>
    </w:pPr>
    <w:rPr>
      <w:rFonts w:hint="eastAsia" w:ascii="Times New Roman" w:hAnsi="Times New Roman" w:eastAsia="宋体" w:cs="Arial"/>
      <w:sz w:val="21"/>
      <w:szCs w:val="21"/>
      <w:lang w:val="en-US" w:eastAsia="zh-CN" w:bidi="ar-SA"/>
    </w:rPr>
  </w:style>
  <w:style w:type="paragraph" w:customStyle="1" w:styleId="422">
    <w:name w:val="点项"/>
    <w:basedOn w:val="1"/>
    <w:qFormat/>
    <w:uiPriority w:val="0"/>
    <w:pPr>
      <w:spacing w:line="360" w:lineRule="auto"/>
    </w:pPr>
    <w:rPr>
      <w:rFonts w:eastAsia="宋体"/>
      <w:bCs/>
      <w:sz w:val="21"/>
    </w:rPr>
  </w:style>
  <w:style w:type="paragraph" w:customStyle="1" w:styleId="423">
    <w:name w:val="列表下文字"/>
    <w:basedOn w:val="369"/>
    <w:qFormat/>
    <w:uiPriority w:val="0"/>
    <w:pPr>
      <w:ind w:left="833" w:leftChars="347"/>
    </w:pPr>
  </w:style>
  <w:style w:type="paragraph" w:customStyle="1" w:styleId="424">
    <w:name w:val="Sub title 1"/>
    <w:basedOn w:val="312"/>
    <w:qFormat/>
    <w:uiPriority w:val="0"/>
    <w:pPr>
      <w:tabs>
        <w:tab w:val="left" w:pos="1304"/>
      </w:tabs>
    </w:pPr>
  </w:style>
  <w:style w:type="paragraph" w:customStyle="1" w:styleId="425">
    <w:name w:val="*"/>
    <w:basedOn w:val="294"/>
    <w:qFormat/>
    <w:uiPriority w:val="0"/>
  </w:style>
  <w:style w:type="paragraph" w:customStyle="1" w:styleId="426">
    <w:name w:val="招标文件1.1"/>
    <w:qFormat/>
    <w:uiPriority w:val="0"/>
    <w:pPr>
      <w:numPr>
        <w:ilvl w:val="2"/>
        <w:numId w:val="5"/>
      </w:numPr>
      <w:tabs>
        <w:tab w:val="left" w:pos="630"/>
      </w:tabs>
      <w:spacing w:before="120" w:after="120" w:line="480" w:lineRule="exact"/>
      <w:outlineLvl w:val="2"/>
    </w:pPr>
    <w:rPr>
      <w:rFonts w:ascii="宋体" w:hAnsi="Times New Roman" w:eastAsia="宋体" w:cs="Times New Roman"/>
      <w:b/>
      <w:spacing w:val="10"/>
      <w:w w:val="95"/>
      <w:sz w:val="24"/>
      <w:lang w:val="en-US" w:eastAsia="zh-CN" w:bidi="ar-SA"/>
    </w:rPr>
  </w:style>
  <w:style w:type="paragraph" w:customStyle="1" w:styleId="427">
    <w:name w:val="Notes Text Step in Table"/>
    <w:qFormat/>
    <w:uiPriority w:val="0"/>
    <w:pPr>
      <w:tabs>
        <w:tab w:val="left" w:pos="454"/>
      </w:tabs>
      <w:spacing w:before="40" w:after="80" w:line="200" w:lineRule="atLeast"/>
      <w:ind w:left="454" w:hanging="284"/>
    </w:pPr>
    <w:rPr>
      <w:rFonts w:ascii="Times New Roman" w:hAnsi="Times New Roman" w:eastAsia="楷体_GB2312" w:cs="楷体_GB2312"/>
      <w:sz w:val="18"/>
      <w:szCs w:val="18"/>
      <w:lang w:val="en-US" w:eastAsia="zh-CN" w:bidi="ar-SA"/>
    </w:rPr>
  </w:style>
  <w:style w:type="paragraph" w:customStyle="1" w:styleId="428">
    <w:name w:val="CM5"/>
    <w:basedOn w:val="292"/>
    <w:next w:val="292"/>
    <w:qFormat/>
    <w:uiPriority w:val="0"/>
    <w:pPr>
      <w:spacing w:line="540" w:lineRule="atLeast"/>
    </w:pPr>
    <w:rPr>
      <w:rFonts w:cs="Times New Roman"/>
      <w:color w:val="auto"/>
    </w:rPr>
  </w:style>
  <w:style w:type="paragraph" w:customStyle="1" w:styleId="429">
    <w:name w:val="PP 行"/>
    <w:basedOn w:val="58"/>
    <w:qFormat/>
    <w:uiPriority w:val="0"/>
    <w:pPr>
      <w:widowControl w:val="0"/>
      <w:jc w:val="both"/>
    </w:pPr>
    <w:rPr>
      <w:rFonts w:eastAsia="宋体"/>
      <w:kern w:val="2"/>
      <w:sz w:val="21"/>
      <w:szCs w:val="20"/>
      <w:lang w:val="en-US"/>
    </w:rPr>
  </w:style>
  <w:style w:type="paragraph" w:customStyle="1" w:styleId="430">
    <w:name w:val="Char1 Char Char Char"/>
    <w:basedOn w:val="1"/>
    <w:qFormat/>
    <w:uiPriority w:val="0"/>
    <w:pPr>
      <w:spacing w:line="240" w:lineRule="auto"/>
    </w:pPr>
    <w:rPr>
      <w:rFonts w:ascii="Tahoma" w:hAnsi="Tahoma" w:eastAsia="仿宋_GB2312"/>
      <w:b/>
      <w:sz w:val="24"/>
      <w:szCs w:val="20"/>
    </w:rPr>
  </w:style>
  <w:style w:type="paragraph" w:customStyle="1" w:styleId="431">
    <w:name w:val="Body1"/>
    <w:basedOn w:val="3"/>
    <w:qFormat/>
    <w:uiPriority w:val="0"/>
    <w:pPr>
      <w:keepNext/>
      <w:widowControl/>
      <w:numPr>
        <w:numId w:val="24"/>
      </w:numPr>
      <w:tabs>
        <w:tab w:val="left" w:pos="420"/>
        <w:tab w:val="left" w:pos="540"/>
        <w:tab w:val="left" w:pos="840"/>
        <w:tab w:val="left" w:pos="1008"/>
      </w:tabs>
      <w:spacing w:before="120" w:after="240"/>
      <w:ind w:left="1008" w:hanging="1008"/>
      <w:outlineLvl w:val="9"/>
    </w:pPr>
    <w:rPr>
      <w:rFonts w:ascii="Arial" w:hAnsi="Arial" w:eastAsia="PMingLiU"/>
      <w:b w:val="0"/>
      <w:bCs w:val="0"/>
      <w:caps/>
      <w:kern w:val="28"/>
      <w:sz w:val="28"/>
      <w:szCs w:val="28"/>
      <w:lang w:eastAsia="zh-TW"/>
    </w:rPr>
  </w:style>
  <w:style w:type="paragraph" w:customStyle="1" w:styleId="432">
    <w:name w:val="Char2"/>
    <w:basedOn w:val="1"/>
    <w:qFormat/>
    <w:uiPriority w:val="0"/>
    <w:pPr>
      <w:tabs>
        <w:tab w:val="left" w:pos="432"/>
      </w:tabs>
      <w:spacing w:line="240" w:lineRule="auto"/>
      <w:ind w:left="432" w:hanging="432"/>
    </w:pPr>
    <w:rPr>
      <w:rFonts w:eastAsia="宋体"/>
      <w:sz w:val="24"/>
    </w:rPr>
  </w:style>
  <w:style w:type="paragraph" w:customStyle="1" w:styleId="433">
    <w:name w:val="样式 标题 3 + 五号"/>
    <w:basedOn w:val="6"/>
    <w:qFormat/>
    <w:uiPriority w:val="0"/>
    <w:pPr>
      <w:tabs>
        <w:tab w:val="left" w:pos="1107"/>
      </w:tabs>
      <w:autoSpaceDE w:val="0"/>
      <w:autoSpaceDN w:val="0"/>
      <w:adjustRightInd w:val="0"/>
      <w:ind w:left="1107"/>
    </w:pPr>
    <w:rPr>
      <w:rFonts w:ascii="宋体" w:eastAsia="宋体"/>
      <w:bCs w:val="0"/>
      <w:kern w:val="0"/>
      <w:sz w:val="21"/>
      <w:szCs w:val="21"/>
      <w:lang w:val="en-US"/>
    </w:rPr>
  </w:style>
  <w:style w:type="paragraph" w:customStyle="1" w:styleId="434">
    <w:name w:val="表内文字"/>
    <w:basedOn w:val="1"/>
    <w:qFormat/>
    <w:uiPriority w:val="0"/>
    <w:pPr>
      <w:adjustRightInd w:val="0"/>
      <w:snapToGrid w:val="0"/>
      <w:spacing w:line="240" w:lineRule="atLeast"/>
      <w:ind w:left="50" w:leftChars="50"/>
    </w:pPr>
    <w:rPr>
      <w:rFonts w:eastAsia="宋体"/>
      <w:sz w:val="21"/>
      <w:szCs w:val="21"/>
    </w:rPr>
  </w:style>
  <w:style w:type="paragraph" w:customStyle="1" w:styleId="435">
    <w:name w:val="CM12"/>
    <w:basedOn w:val="292"/>
    <w:next w:val="292"/>
    <w:qFormat/>
    <w:uiPriority w:val="0"/>
    <w:pPr>
      <w:spacing w:line="540" w:lineRule="atLeast"/>
    </w:pPr>
    <w:rPr>
      <w:rFonts w:cs="Times New Roman"/>
      <w:color w:val="auto"/>
    </w:rPr>
  </w:style>
  <w:style w:type="paragraph" w:customStyle="1" w:styleId="436">
    <w:name w:val="Char3"/>
    <w:basedOn w:val="1"/>
    <w:qFormat/>
    <w:uiPriority w:val="0"/>
    <w:pPr>
      <w:tabs>
        <w:tab w:val="left" w:pos="432"/>
      </w:tabs>
      <w:spacing w:line="240" w:lineRule="auto"/>
      <w:ind w:left="432" w:hanging="432"/>
    </w:pPr>
    <w:rPr>
      <w:rFonts w:eastAsia="宋体"/>
      <w:sz w:val="24"/>
    </w:rPr>
  </w:style>
  <w:style w:type="paragraph" w:customStyle="1" w:styleId="437">
    <w:name w:val="默认段落字体 Para Char Char Char Char"/>
    <w:basedOn w:val="1"/>
    <w:qFormat/>
    <w:uiPriority w:val="0"/>
    <w:pPr>
      <w:spacing w:line="240" w:lineRule="auto"/>
    </w:pPr>
    <w:rPr>
      <w:rFonts w:eastAsia="宋体"/>
      <w:sz w:val="21"/>
    </w:rPr>
  </w:style>
  <w:style w:type="paragraph" w:customStyle="1" w:styleId="438">
    <w:name w:val="1.1"/>
    <w:basedOn w:val="4"/>
    <w:qFormat/>
    <w:uiPriority w:val="0"/>
    <w:pPr>
      <w:numPr>
        <w:ilvl w:val="0"/>
        <w:numId w:val="0"/>
      </w:numPr>
      <w:tabs>
        <w:tab w:val="left" w:pos="210"/>
        <w:tab w:val="left" w:pos="992"/>
      </w:tabs>
      <w:autoSpaceDE w:val="0"/>
      <w:autoSpaceDN w:val="0"/>
      <w:adjustRightInd w:val="0"/>
      <w:spacing w:before="0" w:after="0" w:line="360" w:lineRule="auto"/>
      <w:ind w:left="992" w:hanging="567"/>
      <w:outlineLvl w:val="2"/>
    </w:pPr>
    <w:rPr>
      <w:rFonts w:ascii="宋体" w:hAnsi="宋体" w:eastAsia="宋体"/>
      <w:sz w:val="24"/>
      <w:szCs w:val="24"/>
    </w:rPr>
  </w:style>
  <w:style w:type="paragraph" w:customStyle="1" w:styleId="439">
    <w:name w:val="缺省文本"/>
    <w:basedOn w:val="1"/>
    <w:qFormat/>
    <w:uiPriority w:val="0"/>
    <w:pPr>
      <w:autoSpaceDE w:val="0"/>
      <w:autoSpaceDN w:val="0"/>
      <w:adjustRightInd w:val="0"/>
      <w:spacing w:line="240" w:lineRule="auto"/>
      <w:jc w:val="left"/>
    </w:pPr>
    <w:rPr>
      <w:rFonts w:eastAsia="宋体"/>
      <w:kern w:val="0"/>
      <w:sz w:val="24"/>
    </w:rPr>
  </w:style>
  <w:style w:type="paragraph" w:customStyle="1" w:styleId="440">
    <w:name w:val="招标文件正文"/>
    <w:qFormat/>
    <w:uiPriority w:val="0"/>
    <w:pPr>
      <w:spacing w:before="120" w:after="120" w:line="300" w:lineRule="auto"/>
      <w:ind w:firstLine="200" w:firstLineChars="200"/>
    </w:pPr>
    <w:rPr>
      <w:rFonts w:ascii="宋体" w:hAnsi="Times New Roman" w:eastAsia="宋体" w:cs="Times New Roman"/>
      <w:spacing w:val="10"/>
      <w:w w:val="95"/>
      <w:sz w:val="21"/>
      <w:lang w:val="en-US" w:eastAsia="zh-CN" w:bidi="ar-SA"/>
    </w:rPr>
  </w:style>
  <w:style w:type="paragraph" w:customStyle="1" w:styleId="441">
    <w:name w:val="容量"/>
    <w:basedOn w:val="1"/>
    <w:qFormat/>
    <w:uiPriority w:val="0"/>
    <w:pPr>
      <w:adjustRightInd w:val="0"/>
      <w:spacing w:line="312" w:lineRule="atLeast"/>
      <w:textAlignment w:val="baseline"/>
    </w:pPr>
    <w:rPr>
      <w:rFonts w:eastAsia="宋体"/>
      <w:kern w:val="0"/>
      <w:sz w:val="24"/>
      <w:szCs w:val="20"/>
    </w:rPr>
  </w:style>
  <w:style w:type="paragraph" w:customStyle="1" w:styleId="442">
    <w:name w:val="样式2"/>
    <w:basedOn w:val="84"/>
    <w:qFormat/>
    <w:uiPriority w:val="0"/>
    <w:pPr>
      <w:numPr>
        <w:ilvl w:val="0"/>
        <w:numId w:val="0"/>
      </w:numPr>
      <w:spacing w:line="240" w:lineRule="auto"/>
      <w:jc w:val="both"/>
    </w:pPr>
    <w:rPr>
      <w:rFonts w:ascii="Arial" w:hAnsi="Arial" w:eastAsia="宋体"/>
      <w:bCs w:val="0"/>
      <w:sz w:val="30"/>
      <w:szCs w:val="20"/>
      <w:lang w:val="en-US"/>
    </w:rPr>
  </w:style>
  <w:style w:type="paragraph" w:customStyle="1" w:styleId="443">
    <w:name w:val="正文2"/>
    <w:basedOn w:val="1"/>
    <w:qFormat/>
    <w:uiPriority w:val="0"/>
    <w:pPr>
      <w:spacing w:line="240" w:lineRule="auto"/>
    </w:pPr>
    <w:rPr>
      <w:rFonts w:eastAsia="宋体"/>
      <w:sz w:val="21"/>
      <w:szCs w:val="36"/>
    </w:rPr>
  </w:style>
  <w:style w:type="paragraph" w:customStyle="1" w:styleId="444">
    <w:name w:val="一"/>
    <w:basedOn w:val="3"/>
    <w:qFormat/>
    <w:uiPriority w:val="0"/>
    <w:pPr>
      <w:numPr>
        <w:numId w:val="0"/>
      </w:numPr>
      <w:tabs>
        <w:tab w:val="left" w:pos="425"/>
        <w:tab w:val="left" w:pos="540"/>
      </w:tabs>
      <w:autoSpaceDE w:val="0"/>
      <w:autoSpaceDN w:val="0"/>
      <w:adjustRightInd w:val="0"/>
      <w:spacing w:before="0" w:after="0" w:line="360" w:lineRule="auto"/>
      <w:ind w:left="425" w:hanging="425"/>
    </w:pPr>
    <w:rPr>
      <w:rFonts w:ascii="宋体" w:hAnsi="宋体" w:eastAsia="宋体"/>
      <w:kern w:val="0"/>
      <w:sz w:val="28"/>
      <w:szCs w:val="20"/>
    </w:rPr>
  </w:style>
  <w:style w:type="paragraph" w:customStyle="1" w:styleId="445">
    <w:name w:val="标书样式"/>
    <w:basedOn w:val="1"/>
    <w:qFormat/>
    <w:uiPriority w:val="0"/>
    <w:pPr>
      <w:spacing w:line="360" w:lineRule="auto"/>
      <w:ind w:firstLine="480" w:firstLineChars="200"/>
    </w:pPr>
    <w:rPr>
      <w:rFonts w:eastAsia="仿宋_GB2312"/>
      <w:sz w:val="24"/>
    </w:rPr>
  </w:style>
  <w:style w:type="paragraph" w:customStyle="1" w:styleId="446">
    <w:name w:val="招标文件》"/>
    <w:basedOn w:val="440"/>
    <w:qFormat/>
    <w:uiPriority w:val="0"/>
    <w:pPr>
      <w:numPr>
        <w:ilvl w:val="0"/>
        <w:numId w:val="25"/>
      </w:numPr>
      <w:tabs>
        <w:tab w:val="left" w:pos="560"/>
      </w:tabs>
      <w:ind w:firstLine="0" w:firstLineChars="0"/>
    </w:pPr>
  </w:style>
  <w:style w:type="paragraph" w:customStyle="1" w:styleId="447">
    <w:name w:val="原文列表"/>
    <w:basedOn w:val="369"/>
    <w:qFormat/>
    <w:uiPriority w:val="0"/>
    <w:pPr>
      <w:numPr>
        <w:ilvl w:val="0"/>
        <w:numId w:val="26"/>
      </w:numPr>
      <w:tabs>
        <w:tab w:val="left" w:pos="840"/>
      </w:tabs>
      <w:ind w:firstLine="0" w:firstLineChars="0"/>
    </w:pPr>
  </w:style>
  <w:style w:type="paragraph" w:customStyle="1" w:styleId="448">
    <w:name w:val="註解方塊文字"/>
    <w:basedOn w:val="1"/>
    <w:semiHidden/>
    <w:qFormat/>
    <w:uiPriority w:val="0"/>
    <w:pPr>
      <w:widowControl/>
      <w:spacing w:line="240" w:lineRule="auto"/>
      <w:jc w:val="left"/>
    </w:pPr>
    <w:rPr>
      <w:rFonts w:ascii="Arial" w:hAnsi="Arial" w:eastAsia="PMingLiU"/>
      <w:kern w:val="0"/>
      <w:sz w:val="18"/>
      <w:szCs w:val="18"/>
      <w:lang w:eastAsia="zh-HK"/>
    </w:rPr>
  </w:style>
  <w:style w:type="paragraph" w:customStyle="1" w:styleId="449">
    <w:name w:val="标准文本"/>
    <w:basedOn w:val="1"/>
    <w:qFormat/>
    <w:uiPriority w:val="0"/>
    <w:pPr>
      <w:numPr>
        <w:ilvl w:val="0"/>
        <w:numId w:val="27"/>
      </w:numPr>
      <w:ind w:left="0" w:firstLine="522"/>
    </w:pPr>
    <w:rPr>
      <w:rFonts w:eastAsia="宋体"/>
      <w:sz w:val="24"/>
    </w:rPr>
  </w:style>
  <w:style w:type="paragraph" w:customStyle="1" w:styleId="450">
    <w:name w:val="IVBD正文"/>
    <w:basedOn w:val="1"/>
    <w:qFormat/>
    <w:uiPriority w:val="0"/>
    <w:pPr>
      <w:adjustRightInd w:val="0"/>
      <w:snapToGrid w:val="0"/>
      <w:spacing w:line="360" w:lineRule="auto"/>
      <w:ind w:firstLine="480" w:firstLineChars="200"/>
    </w:pPr>
    <w:rPr>
      <w:rFonts w:ascii="宋体" w:hAnsi="宋体" w:eastAsia="宋体"/>
      <w:sz w:val="24"/>
    </w:rPr>
  </w:style>
  <w:style w:type="paragraph" w:customStyle="1" w:styleId="451">
    <w:name w:val="CM3"/>
    <w:basedOn w:val="292"/>
    <w:next w:val="292"/>
    <w:qFormat/>
    <w:uiPriority w:val="0"/>
    <w:pPr>
      <w:spacing w:line="540" w:lineRule="atLeast"/>
    </w:pPr>
    <w:rPr>
      <w:rFonts w:cs="Times New Roman"/>
      <w:color w:val="auto"/>
    </w:rPr>
  </w:style>
  <w:style w:type="paragraph" w:customStyle="1" w:styleId="452">
    <w:name w:val="样式 目录 2 + 左侧:  2 字符1"/>
    <w:basedOn w:val="74"/>
    <w:qFormat/>
    <w:uiPriority w:val="0"/>
    <w:pPr>
      <w:tabs>
        <w:tab w:val="left" w:pos="945"/>
        <w:tab w:val="left" w:pos="1260"/>
        <w:tab w:val="right" w:leader="dot" w:pos="8392"/>
      </w:tabs>
      <w:spacing w:line="360" w:lineRule="auto"/>
      <w:ind w:left="400" w:leftChars="400"/>
      <w:jc w:val="both"/>
    </w:pPr>
    <w:rPr>
      <w:rFonts w:ascii="Times New Roman" w:hAnsi="Times New Roman" w:eastAsia="宋体" w:cs="宋体"/>
      <w:smallCaps w:val="0"/>
      <w:sz w:val="24"/>
    </w:rPr>
  </w:style>
  <w:style w:type="paragraph" w:customStyle="1" w:styleId="453">
    <w:name w:val="Char"/>
    <w:basedOn w:val="1"/>
    <w:qFormat/>
    <w:uiPriority w:val="0"/>
    <w:pPr>
      <w:spacing w:line="240" w:lineRule="auto"/>
    </w:pPr>
    <w:rPr>
      <w:rFonts w:ascii="Tahoma" w:hAnsi="Tahoma" w:eastAsia="宋体"/>
      <w:sz w:val="24"/>
      <w:szCs w:val="20"/>
    </w:rPr>
  </w:style>
  <w:style w:type="paragraph" w:customStyle="1" w:styleId="454">
    <w:name w:val="样式 样式 Times New Roman 首行缩进:  2 字符 + 首行缩进:  2 字符"/>
    <w:basedOn w:val="1"/>
    <w:qFormat/>
    <w:uiPriority w:val="0"/>
    <w:pPr>
      <w:spacing w:line="560" w:lineRule="exact"/>
      <w:ind w:firstLine="200" w:firstLineChars="200"/>
    </w:pPr>
    <w:rPr>
      <w:rFonts w:eastAsia="宋体"/>
      <w:szCs w:val="20"/>
    </w:rPr>
  </w:style>
  <w:style w:type="paragraph" w:customStyle="1" w:styleId="455">
    <w:name w:val="9号线正文"/>
    <w:basedOn w:val="1"/>
    <w:qFormat/>
    <w:uiPriority w:val="0"/>
    <w:pPr>
      <w:widowControl/>
      <w:overflowPunct w:val="0"/>
      <w:spacing w:line="560" w:lineRule="exact"/>
      <w:ind w:firstLine="420" w:firstLineChars="200"/>
      <w:jc w:val="left"/>
    </w:pPr>
    <w:rPr>
      <w:rFonts w:ascii="宋体" w:hAnsi="宋体" w:eastAsia="宋体"/>
      <w:kern w:val="0"/>
      <w:sz w:val="26"/>
      <w:szCs w:val="20"/>
    </w:rPr>
  </w:style>
  <w:style w:type="paragraph" w:customStyle="1" w:styleId="456">
    <w:name w:val="内容"/>
    <w:basedOn w:val="1"/>
    <w:next w:val="1"/>
    <w:qFormat/>
    <w:uiPriority w:val="0"/>
    <w:pPr>
      <w:spacing w:line="500" w:lineRule="exact"/>
      <w:ind w:firstLine="425" w:firstLineChars="200"/>
      <w:jc w:val="left"/>
    </w:pPr>
    <w:rPr>
      <w:rFonts w:ascii="宋体" w:hAnsi="宋体" w:eastAsia="宋体"/>
      <w:sz w:val="24"/>
    </w:rPr>
  </w:style>
  <w:style w:type="table" w:customStyle="1" w:styleId="457">
    <w:name w:val="网格表 4 - 着色 11"/>
    <w:basedOn w:val="88"/>
    <w:qFormat/>
    <w:uiPriority w:val="49"/>
    <w:rPr>
      <w:rFonts w:ascii="Calibri" w:hAnsi="Calibri"/>
      <w:kern w:val="2"/>
      <w:sz w:val="24"/>
      <w:szCs w:val="24"/>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l2br w:val="nil"/>
          <w:tr2bl w:val="nil"/>
        </w:tcBorders>
        <w:shd w:val="clear" w:color="auto" w:fill="5B9BD5"/>
      </w:tcPr>
    </w:tblStylePr>
    <w:tblStylePr w:type="lastRow">
      <w:rPr>
        <w:b/>
        <w:bCs/>
      </w:rPr>
      <w:tcPr>
        <w:tcBorders>
          <w:top w:val="double" w:color="5B9BD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458">
    <w:name w:val="批注文字 Char"/>
    <w:qFormat/>
    <w:uiPriority w:val="99"/>
    <w:rPr>
      <w:rFonts w:ascii="宋体" w:hAnsi="宋体"/>
      <w:bCs/>
      <w:spacing w:val="20"/>
      <w:kern w:val="2"/>
      <w:sz w:val="28"/>
      <w:szCs w:val="24"/>
    </w:rPr>
  </w:style>
  <w:style w:type="character" w:customStyle="1" w:styleId="459">
    <w:name w:val="题注 Char"/>
    <w:qFormat/>
    <w:uiPriority w:val="0"/>
    <w:rPr>
      <w:rFonts w:ascii="Arial" w:hAnsi="Arial" w:eastAsia="黑体" w:cs="Arial"/>
      <w:kern w:val="2"/>
      <w:lang w:val="en-US" w:eastAsia="zh-CN" w:bidi="ar-SA"/>
    </w:rPr>
  </w:style>
  <w:style w:type="character" w:customStyle="1" w:styleId="460">
    <w:name w:val="标题 3 Char"/>
    <w:qFormat/>
    <w:uiPriority w:val="0"/>
    <w:rPr>
      <w:b/>
      <w:bCs/>
      <w:kern w:val="2"/>
      <w:sz w:val="32"/>
      <w:szCs w:val="32"/>
      <w:lang w:val="zh-CN" w:eastAsia="zh-CN"/>
    </w:rPr>
  </w:style>
  <w:style w:type="character" w:customStyle="1" w:styleId="461">
    <w:name w:val="标题 1 Char"/>
    <w:qFormat/>
    <w:uiPriority w:val="9"/>
    <w:rPr>
      <w:rFonts w:ascii="宋体" w:hAnsi="宋体"/>
      <w:b/>
      <w:bCs/>
      <w:sz w:val="21"/>
      <w:lang w:val="zh-CN" w:eastAsia="zh-CN"/>
    </w:rPr>
  </w:style>
  <w:style w:type="character" w:customStyle="1" w:styleId="462">
    <w:name w:val="正文文本缩进 Char"/>
    <w:qFormat/>
    <w:uiPriority w:val="0"/>
    <w:rPr>
      <w:rFonts w:ascii="宋体" w:hAnsi="宋体"/>
      <w:color w:val="000000"/>
      <w:kern w:val="2"/>
      <w:sz w:val="21"/>
      <w:szCs w:val="24"/>
    </w:rPr>
  </w:style>
  <w:style w:type="character" w:customStyle="1" w:styleId="463">
    <w:name w:val="纯文本 Char"/>
    <w:qFormat/>
    <w:uiPriority w:val="0"/>
    <w:rPr>
      <w:rFonts w:ascii="宋体" w:hAnsi="Courier New" w:cs="Courier New"/>
      <w:kern w:val="2"/>
      <w:sz w:val="21"/>
      <w:szCs w:val="21"/>
    </w:rPr>
  </w:style>
  <w:style w:type="character" w:customStyle="1" w:styleId="464">
    <w:name w:val="标题 2 Char1"/>
    <w:qFormat/>
    <w:uiPriority w:val="0"/>
    <w:rPr>
      <w:rFonts w:ascii="宋体" w:hAnsi="宋体"/>
      <w:b/>
      <w:color w:val="FF0000"/>
      <w:kern w:val="2"/>
      <w:sz w:val="24"/>
      <w:szCs w:val="24"/>
      <w:lang w:val="zh-CN"/>
    </w:rPr>
  </w:style>
  <w:style w:type="character" w:customStyle="1" w:styleId="465">
    <w:name w:val="标题 5 Char"/>
    <w:qFormat/>
    <w:uiPriority w:val="0"/>
    <w:rPr>
      <w:b/>
      <w:bCs/>
      <w:kern w:val="2"/>
      <w:sz w:val="28"/>
      <w:szCs w:val="28"/>
      <w:lang w:val="zh-CN" w:eastAsia="zh-CN"/>
    </w:rPr>
  </w:style>
  <w:style w:type="character" w:customStyle="1" w:styleId="466">
    <w:name w:val="标题 6 Char"/>
    <w:qFormat/>
    <w:uiPriority w:val="0"/>
    <w:rPr>
      <w:bCs/>
      <w:snapToGrid w:val="0"/>
      <w:kern w:val="28"/>
      <w:sz w:val="28"/>
      <w:szCs w:val="28"/>
    </w:rPr>
  </w:style>
  <w:style w:type="character" w:customStyle="1" w:styleId="467">
    <w:name w:val="标题 7 Char"/>
    <w:qFormat/>
    <w:uiPriority w:val="0"/>
    <w:rPr>
      <w:rFonts w:ascii="Arial" w:hAnsi="Arial"/>
      <w:b/>
      <w:bCs/>
      <w:snapToGrid w:val="0"/>
      <w:kern w:val="24"/>
      <w:sz w:val="24"/>
      <w:szCs w:val="28"/>
      <w:lang w:val="zh-CN" w:eastAsia="zh-CN"/>
    </w:rPr>
  </w:style>
  <w:style w:type="character" w:customStyle="1" w:styleId="468">
    <w:name w:val="标题 8 Char"/>
    <w:qFormat/>
    <w:uiPriority w:val="0"/>
    <w:rPr>
      <w:rFonts w:ascii="Arial" w:hAnsi="Arial" w:eastAsia="黑体"/>
      <w:snapToGrid w:val="0"/>
      <w:kern w:val="24"/>
      <w:sz w:val="24"/>
      <w:szCs w:val="28"/>
      <w:lang w:val="zh-CN" w:eastAsia="zh-CN"/>
    </w:rPr>
  </w:style>
  <w:style w:type="character" w:customStyle="1" w:styleId="469">
    <w:name w:val="标题 9 Char"/>
    <w:qFormat/>
    <w:uiPriority w:val="0"/>
    <w:rPr>
      <w:rFonts w:ascii="Arial" w:hAnsi="Arial" w:eastAsia="黑体"/>
      <w:snapToGrid w:val="0"/>
      <w:kern w:val="24"/>
      <w:sz w:val="24"/>
      <w:szCs w:val="21"/>
      <w:lang w:val="zh-CN" w:eastAsia="zh-CN"/>
    </w:rPr>
  </w:style>
  <w:style w:type="character" w:customStyle="1" w:styleId="470">
    <w:name w:val="正文文本 Char"/>
    <w:qFormat/>
    <w:uiPriority w:val="99"/>
    <w:rPr>
      <w:sz w:val="21"/>
    </w:rPr>
  </w:style>
  <w:style w:type="character" w:customStyle="1" w:styleId="471">
    <w:name w:val="正文文本缩进 3 Char"/>
    <w:qFormat/>
    <w:uiPriority w:val="99"/>
    <w:rPr>
      <w:rFonts w:ascii="宋体" w:hAnsi="宋体"/>
      <w:color w:val="000000"/>
      <w:kern w:val="2"/>
      <w:sz w:val="21"/>
      <w:szCs w:val="24"/>
    </w:rPr>
  </w:style>
  <w:style w:type="character" w:customStyle="1" w:styleId="472">
    <w:name w:val="正文文本缩进 2 Char"/>
    <w:qFormat/>
    <w:uiPriority w:val="0"/>
    <w:rPr>
      <w:rFonts w:ascii="宋体"/>
      <w:kern w:val="2"/>
      <w:sz w:val="28"/>
    </w:rPr>
  </w:style>
  <w:style w:type="character" w:customStyle="1" w:styleId="473">
    <w:name w:val="页眉 Char"/>
    <w:qFormat/>
    <w:uiPriority w:val="99"/>
    <w:rPr>
      <w:kern w:val="2"/>
      <w:sz w:val="18"/>
      <w:szCs w:val="18"/>
    </w:rPr>
  </w:style>
  <w:style w:type="character" w:customStyle="1" w:styleId="474">
    <w:name w:val="页脚 Char"/>
    <w:qFormat/>
    <w:uiPriority w:val="0"/>
    <w:rPr>
      <w:kern w:val="2"/>
      <w:sz w:val="18"/>
      <w:szCs w:val="18"/>
    </w:rPr>
  </w:style>
  <w:style w:type="character" w:customStyle="1" w:styleId="475">
    <w:name w:val="文档结构图 Char"/>
    <w:semiHidden/>
    <w:qFormat/>
    <w:uiPriority w:val="0"/>
    <w:rPr>
      <w:kern w:val="2"/>
      <w:sz w:val="21"/>
      <w:szCs w:val="24"/>
      <w:shd w:val="clear" w:color="auto" w:fill="000080"/>
    </w:rPr>
  </w:style>
  <w:style w:type="character" w:customStyle="1" w:styleId="476">
    <w:name w:val="批注框文本 Char"/>
    <w:semiHidden/>
    <w:qFormat/>
    <w:uiPriority w:val="0"/>
    <w:rPr>
      <w:kern w:val="2"/>
      <w:sz w:val="18"/>
      <w:szCs w:val="18"/>
    </w:rPr>
  </w:style>
  <w:style w:type="character" w:customStyle="1" w:styleId="477">
    <w:name w:val="正文文本 2 Char"/>
    <w:qFormat/>
    <w:uiPriority w:val="0"/>
    <w:rPr>
      <w:kern w:val="2"/>
      <w:sz w:val="21"/>
      <w:szCs w:val="24"/>
    </w:rPr>
  </w:style>
  <w:style w:type="character" w:customStyle="1" w:styleId="478">
    <w:name w:val="日期 Char"/>
    <w:qFormat/>
    <w:uiPriority w:val="0"/>
    <w:rPr>
      <w:snapToGrid w:val="0"/>
      <w:kern w:val="28"/>
      <w:sz w:val="28"/>
      <w:szCs w:val="28"/>
    </w:rPr>
  </w:style>
  <w:style w:type="character" w:customStyle="1" w:styleId="479">
    <w:name w:val="批注主题 Char"/>
    <w:semiHidden/>
    <w:qFormat/>
    <w:uiPriority w:val="99"/>
    <w:rPr>
      <w:b/>
      <w:bCs/>
      <w:kern w:val="2"/>
      <w:sz w:val="21"/>
      <w:szCs w:val="24"/>
    </w:rPr>
  </w:style>
  <w:style w:type="character" w:customStyle="1" w:styleId="480">
    <w:name w:val="正文首行缩进 Char"/>
    <w:qFormat/>
    <w:uiPriority w:val="0"/>
    <w:rPr>
      <w:kern w:val="2"/>
      <w:sz w:val="21"/>
      <w:szCs w:val="24"/>
    </w:rPr>
  </w:style>
  <w:style w:type="character" w:customStyle="1" w:styleId="481">
    <w:name w:val="4 dash Char"/>
    <w:qFormat/>
    <w:uiPriority w:val="0"/>
    <w:rPr>
      <w:rFonts w:ascii="Arial" w:hAnsi="Arial"/>
      <w:bCs/>
      <w:kern w:val="2"/>
      <w:sz w:val="21"/>
      <w:szCs w:val="28"/>
      <w:lang w:val="zh-CN" w:eastAsia="zh-CN"/>
    </w:rPr>
  </w:style>
  <w:style w:type="character" w:customStyle="1" w:styleId="482">
    <w:name w:val="签名 Char"/>
    <w:qFormat/>
    <w:uiPriority w:val="0"/>
    <w:rPr>
      <w:kern w:val="2"/>
      <w:sz w:val="21"/>
    </w:rPr>
  </w:style>
  <w:style w:type="character" w:customStyle="1" w:styleId="483">
    <w:name w:val="正文文本 3 Char"/>
    <w:qFormat/>
    <w:uiPriority w:val="0"/>
    <w:rPr>
      <w:rFonts w:eastAsia="仿宋_GB2312"/>
      <w:color w:val="000000"/>
      <w:kern w:val="2"/>
      <w:sz w:val="24"/>
    </w:rPr>
  </w:style>
  <w:style w:type="character" w:customStyle="1" w:styleId="484">
    <w:name w:val="标题 Char"/>
    <w:qFormat/>
    <w:uiPriority w:val="0"/>
    <w:rPr>
      <w:rFonts w:ascii="Arial" w:hAnsi="Arial"/>
      <w:b/>
      <w:kern w:val="2"/>
      <w:sz w:val="30"/>
    </w:rPr>
  </w:style>
  <w:style w:type="character" w:customStyle="1" w:styleId="485">
    <w:name w:val="HTML 预设格式 Char"/>
    <w:qFormat/>
    <w:uiPriority w:val="0"/>
    <w:rPr>
      <w:rFonts w:ascii="宋体" w:hAnsi="宋体" w:cs="宋体"/>
      <w:sz w:val="24"/>
      <w:szCs w:val="24"/>
    </w:rPr>
  </w:style>
  <w:style w:type="character" w:customStyle="1" w:styleId="486">
    <w:name w:val="正文首行缩进 2 Char"/>
    <w:qFormat/>
    <w:uiPriority w:val="0"/>
  </w:style>
  <w:style w:type="character" w:customStyle="1" w:styleId="487">
    <w:name w:val="称呼 Char"/>
    <w:qFormat/>
    <w:uiPriority w:val="0"/>
    <w:rPr>
      <w:kern w:val="2"/>
      <w:sz w:val="24"/>
    </w:rPr>
  </w:style>
  <w:style w:type="paragraph" w:customStyle="1" w:styleId="488">
    <w:name w:val="正文文本21"/>
    <w:qFormat/>
    <w:uiPriority w:val="0"/>
    <w:pPr>
      <w:widowControl w:val="0"/>
      <w:autoSpaceDE w:val="0"/>
      <w:autoSpaceDN w:val="0"/>
      <w:adjustRightInd w:val="0"/>
      <w:spacing w:before="170" w:line="300" w:lineRule="atLeast"/>
      <w:jc w:val="both"/>
    </w:pPr>
    <w:rPr>
      <w:rFonts w:ascii="宋体" w:hAnsi="宋体" w:eastAsia="宋体" w:cs="Times New Roman"/>
      <w:b/>
      <w:bCs/>
      <w:kern w:val="2"/>
      <w:sz w:val="24"/>
      <w:szCs w:val="24"/>
      <w:lang w:val="en-US" w:eastAsia="zh-CN" w:bidi="ar-SA"/>
    </w:rPr>
  </w:style>
  <w:style w:type="character" w:customStyle="1" w:styleId="489">
    <w:name w:val="正文文本缩进 字符1"/>
    <w:qFormat/>
    <w:uiPriority w:val="0"/>
    <w:rPr>
      <w:rFonts w:ascii="宋体" w:hAnsi="宋体" w:eastAsia="宋体" w:cs="Times New Roman"/>
      <w:color w:val="000000"/>
      <w:szCs w:val="24"/>
      <w:lang w:val="zh-CN" w:eastAsia="zh-CN"/>
    </w:rPr>
  </w:style>
  <w:style w:type="paragraph" w:customStyle="1" w:styleId="490">
    <w:name w:val="Char Char Char Char Char Char1 Char Char Char Char1"/>
    <w:basedOn w:val="1"/>
    <w:autoRedefine/>
    <w:qFormat/>
    <w:uiPriority w:val="0"/>
    <w:pPr>
      <w:spacing w:line="240" w:lineRule="auto"/>
    </w:pPr>
    <w:rPr>
      <w:rFonts w:ascii="仿宋_GB2312" w:eastAsia="仿宋_GB2312"/>
      <w:b/>
      <w:sz w:val="32"/>
      <w:szCs w:val="32"/>
    </w:rPr>
  </w:style>
  <w:style w:type="character" w:customStyle="1" w:styleId="491">
    <w:name w:val="纯文本 字符1"/>
    <w:qFormat/>
    <w:uiPriority w:val="0"/>
    <w:rPr>
      <w:rFonts w:ascii="宋体" w:hAnsi="Courier New" w:eastAsia="宋体" w:cs="Times New Roman"/>
      <w:szCs w:val="21"/>
      <w:lang w:val="zh-CN" w:eastAsia="zh-CN"/>
    </w:rPr>
  </w:style>
  <w:style w:type="character" w:customStyle="1" w:styleId="492">
    <w:name w:val="Char Char81"/>
    <w:semiHidden/>
    <w:qFormat/>
    <w:uiPriority w:val="0"/>
    <w:rPr>
      <w:rFonts w:ascii="宋体" w:hAnsi="宋体" w:eastAsia="宋体"/>
      <w:bCs/>
      <w:spacing w:val="20"/>
      <w:kern w:val="2"/>
      <w:sz w:val="28"/>
      <w:szCs w:val="24"/>
      <w:lang w:val="en-US" w:eastAsia="zh-CN" w:bidi="ar-SA"/>
    </w:rPr>
  </w:style>
  <w:style w:type="character" w:customStyle="1" w:styleId="493">
    <w:name w:val="Char Char11"/>
    <w:semiHidden/>
    <w:qFormat/>
    <w:uiPriority w:val="0"/>
    <w:rPr>
      <w:rFonts w:ascii="宋体" w:hAnsi="宋体"/>
      <w:bCs/>
      <w:spacing w:val="20"/>
      <w:kern w:val="2"/>
      <w:sz w:val="28"/>
      <w:szCs w:val="24"/>
    </w:rPr>
  </w:style>
  <w:style w:type="character" w:customStyle="1" w:styleId="494">
    <w:name w:val="文档结构图 字符1"/>
    <w:semiHidden/>
    <w:qFormat/>
    <w:uiPriority w:val="0"/>
    <w:rPr>
      <w:rFonts w:ascii="Times New Roman" w:hAnsi="Times New Roman" w:eastAsia="宋体" w:cs="Times New Roman"/>
      <w:szCs w:val="24"/>
      <w:shd w:val="clear" w:color="auto" w:fill="000080"/>
      <w:lang w:val="zh-CN" w:eastAsia="zh-CN"/>
    </w:rPr>
  </w:style>
  <w:style w:type="character" w:customStyle="1" w:styleId="495">
    <w:name w:val="正文文本 2 字符1"/>
    <w:qFormat/>
    <w:uiPriority w:val="0"/>
    <w:rPr>
      <w:rFonts w:ascii="Times New Roman" w:hAnsi="Times New Roman" w:eastAsia="宋体" w:cs="Times New Roman"/>
      <w:szCs w:val="24"/>
      <w:lang w:val="zh-CN" w:eastAsia="zh-CN"/>
    </w:rPr>
  </w:style>
  <w:style w:type="character" w:customStyle="1" w:styleId="496">
    <w:name w:val="日期 字符1"/>
    <w:qFormat/>
    <w:uiPriority w:val="0"/>
    <w:rPr>
      <w:rFonts w:ascii="Times New Roman" w:hAnsi="Times New Roman" w:eastAsia="宋体" w:cs="Times New Roman"/>
      <w:snapToGrid w:val="0"/>
      <w:kern w:val="28"/>
      <w:sz w:val="28"/>
      <w:szCs w:val="28"/>
      <w:lang w:val="zh-CN" w:eastAsia="zh-CN"/>
    </w:rPr>
  </w:style>
  <w:style w:type="character" w:customStyle="1" w:styleId="497">
    <w:name w:val="签名 字符1"/>
    <w:qFormat/>
    <w:uiPriority w:val="0"/>
    <w:rPr>
      <w:rFonts w:ascii="Times New Roman" w:hAnsi="Times New Roman" w:eastAsia="宋体" w:cs="Times New Roman"/>
      <w:szCs w:val="20"/>
      <w:lang w:val="zh-CN" w:eastAsia="zh-CN"/>
    </w:rPr>
  </w:style>
  <w:style w:type="paragraph" w:customStyle="1" w:styleId="498">
    <w:name w:val="Char1 Char Char Char1"/>
    <w:basedOn w:val="1"/>
    <w:qFormat/>
    <w:uiPriority w:val="0"/>
    <w:pPr>
      <w:spacing w:line="240" w:lineRule="auto"/>
    </w:pPr>
    <w:rPr>
      <w:rFonts w:ascii="Tahoma" w:hAnsi="Tahoma" w:eastAsia="仿宋_GB2312"/>
      <w:b/>
      <w:sz w:val="24"/>
      <w:szCs w:val="20"/>
    </w:rPr>
  </w:style>
  <w:style w:type="character" w:customStyle="1" w:styleId="499">
    <w:name w:val="正文文本 3 字符1"/>
    <w:qFormat/>
    <w:uiPriority w:val="0"/>
    <w:rPr>
      <w:rFonts w:ascii="Times New Roman" w:hAnsi="Times New Roman" w:eastAsia="仿宋_GB2312" w:cs="Times New Roman"/>
      <w:color w:val="000000"/>
      <w:sz w:val="24"/>
      <w:szCs w:val="20"/>
      <w:lang w:val="zh-CN" w:eastAsia="zh-CN"/>
    </w:rPr>
  </w:style>
  <w:style w:type="character" w:customStyle="1" w:styleId="500">
    <w:name w:val="标题 字符1"/>
    <w:qFormat/>
    <w:uiPriority w:val="0"/>
    <w:rPr>
      <w:rFonts w:ascii="Arial" w:hAnsi="Arial" w:eastAsia="宋体" w:cs="Times New Roman"/>
      <w:b/>
      <w:sz w:val="30"/>
      <w:szCs w:val="20"/>
      <w:lang w:val="zh-CN" w:eastAsia="zh-CN"/>
    </w:rPr>
  </w:style>
  <w:style w:type="character" w:customStyle="1" w:styleId="501">
    <w:name w:val="HTML 预设格式 字符1"/>
    <w:qFormat/>
    <w:uiPriority w:val="0"/>
    <w:rPr>
      <w:rFonts w:ascii="宋体" w:hAnsi="宋体" w:eastAsia="宋体" w:cs="Times New Roman"/>
      <w:kern w:val="0"/>
      <w:sz w:val="24"/>
      <w:szCs w:val="24"/>
      <w:lang w:val="zh-CN" w:eastAsia="zh-CN"/>
    </w:rPr>
  </w:style>
  <w:style w:type="character" w:customStyle="1" w:styleId="502">
    <w:name w:val="Char Char121"/>
    <w:qFormat/>
    <w:uiPriority w:val="0"/>
    <w:rPr>
      <w:sz w:val="18"/>
      <w:szCs w:val="18"/>
    </w:rPr>
  </w:style>
  <w:style w:type="character" w:customStyle="1" w:styleId="503">
    <w:name w:val="称呼 字符1"/>
    <w:qFormat/>
    <w:uiPriority w:val="0"/>
    <w:rPr>
      <w:rFonts w:ascii="Times New Roman" w:hAnsi="Times New Roman" w:eastAsia="宋体" w:cs="Times New Roman"/>
      <w:sz w:val="24"/>
      <w:szCs w:val="20"/>
      <w:lang w:val="zh-CN" w:eastAsia="zh-CN"/>
    </w:rPr>
  </w:style>
  <w:style w:type="paragraph" w:customStyle="1" w:styleId="504">
    <w:name w:val="default"/>
    <w:basedOn w:val="1"/>
    <w:qFormat/>
    <w:uiPriority w:val="0"/>
    <w:pPr>
      <w:widowControl/>
      <w:spacing w:before="100" w:beforeAutospacing="1" w:after="100" w:afterAutospacing="1" w:line="240" w:lineRule="auto"/>
      <w:jc w:val="left"/>
    </w:pPr>
    <w:rPr>
      <w:rFonts w:ascii="宋体" w:hAnsi="宋体" w:eastAsia="宋体" w:cs="宋体"/>
      <w:kern w:val="0"/>
      <w:sz w:val="24"/>
    </w:rPr>
  </w:style>
  <w:style w:type="paragraph" w:customStyle="1" w:styleId="505">
    <w:name w:val="ctrl+q，图表字样"/>
    <w:basedOn w:val="1"/>
    <w:autoRedefine/>
    <w:qFormat/>
    <w:uiPriority w:val="0"/>
    <w:pPr>
      <w:snapToGrid w:val="0"/>
      <w:spacing w:line="240" w:lineRule="auto"/>
      <w:jc w:val="center"/>
    </w:pPr>
    <w:rPr>
      <w:rFonts w:eastAsia="宋体" w:cs="宋体"/>
      <w:color w:val="000000" w:themeColor="text1"/>
      <w:sz w:val="24"/>
      <w14:textFill>
        <w14:solidFill>
          <w14:schemeClr w14:val="tx1"/>
        </w14:solidFill>
      </w14:textFill>
    </w:rPr>
  </w:style>
  <w:style w:type="paragraph" w:customStyle="1" w:styleId="506">
    <w:name w:val="正文样式，ctrl+D"/>
    <w:basedOn w:val="281"/>
    <w:link w:val="507"/>
    <w:autoRedefine/>
    <w:qFormat/>
    <w:uiPriority w:val="0"/>
    <w:pPr>
      <w:spacing w:before="120"/>
      <w:ind w:firstLine="200"/>
      <w:contextualSpacing/>
    </w:pPr>
    <w:rPr>
      <w:rFonts w:ascii="宋体" w:hAnsi="宋体" w:cs="宋体"/>
      <w:color w:val="000000" w:themeColor="text1"/>
      <w:sz w:val="28"/>
      <w:szCs w:val="28"/>
      <w14:textFill>
        <w14:solidFill>
          <w14:schemeClr w14:val="tx1"/>
        </w14:solidFill>
      </w14:textFill>
    </w:rPr>
  </w:style>
  <w:style w:type="character" w:customStyle="1" w:styleId="507">
    <w:name w:val="正文样式，ctrl+D 字符"/>
    <w:basedOn w:val="280"/>
    <w:link w:val="506"/>
    <w:qFormat/>
    <w:uiPriority w:val="0"/>
    <w:rPr>
      <w:rFonts w:ascii="宋体" w:hAnsi="宋体" w:cs="宋体"/>
      <w:color w:val="000000" w:themeColor="text1"/>
      <w:kern w:val="2"/>
      <w:sz w:val="28"/>
      <w:szCs w:val="28"/>
      <w14:textFill>
        <w14:solidFill>
          <w14:schemeClr w14:val="tx1"/>
        </w14:solidFill>
      </w14:textFill>
    </w:rPr>
  </w:style>
  <w:style w:type="character" w:customStyle="1" w:styleId="508">
    <w:name w:val="普通(网站) 字符"/>
    <w:link w:val="81"/>
    <w:qFormat/>
    <w:uiPriority w:val="0"/>
    <w:rPr>
      <w:rFonts w:ascii="宋体" w:hAnsi="宋体" w:eastAsia="仿宋" w:cs="宋体"/>
      <w:sz w:val="28"/>
      <w:szCs w:val="24"/>
    </w:rPr>
  </w:style>
  <w:style w:type="paragraph" w:customStyle="1" w:styleId="509">
    <w:name w:val="列表-点"/>
    <w:basedOn w:val="1"/>
    <w:qFormat/>
    <w:uiPriority w:val="99"/>
    <w:pPr>
      <w:numPr>
        <w:ilvl w:val="0"/>
        <w:numId w:val="28"/>
      </w:numPr>
      <w:tabs>
        <w:tab w:val="left" w:pos="420"/>
      </w:tabs>
      <w:spacing w:after="160" w:line="240" w:lineRule="auto"/>
      <w:ind w:right="100" w:rightChars="100" w:firstLine="0"/>
    </w:pPr>
    <w:rPr>
      <w:rFonts w:ascii="Calibri" w:hAnsi="Calibri" w:eastAsia="宋体" w:cs="仿宋"/>
      <w:sz w:val="21"/>
      <w:szCs w:val="22"/>
    </w:rPr>
  </w:style>
  <w:style w:type="character" w:customStyle="1" w:styleId="510">
    <w:name w:val="书籍标题1"/>
    <w:qFormat/>
    <w:uiPriority w:val="0"/>
    <w:rPr>
      <w:b/>
      <w:bCs/>
      <w:i/>
      <w:iCs/>
      <w:spacing w:val="5"/>
    </w:rPr>
  </w:style>
  <w:style w:type="table" w:customStyle="1" w:styleId="511">
    <w:name w:val="网格表 4 - 着色 12"/>
    <w:basedOn w:val="88"/>
    <w:qFormat/>
    <w:uiPriority w:val="49"/>
    <w:rPr>
      <w:rFonts w:ascii="Calibri" w:hAnsi="Calibri" w:cs="宋体"/>
      <w:color w:val="000000" w:themeColor="text1"/>
      <w:kern w:val="2"/>
      <w:sz w:val="24"/>
      <w:szCs w:val="28"/>
      <w14:textFill>
        <w14:solidFill>
          <w14:schemeClr w14:val="tx1"/>
        </w14:solidFill>
      </w14:textFill>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CCE8C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styleId="512">
    <w:name w:val="Placeholder Text"/>
    <w:semiHidden/>
    <w:qFormat/>
    <w:uiPriority w:val="99"/>
    <w:rPr>
      <w:color w:val="808080"/>
    </w:rPr>
  </w:style>
  <w:style w:type="paragraph" w:customStyle="1" w:styleId="513">
    <w:name w:val="msonormal"/>
    <w:basedOn w:val="1"/>
    <w:qFormat/>
    <w:uiPriority w:val="0"/>
    <w:pPr>
      <w:widowControl/>
      <w:spacing w:before="100" w:beforeAutospacing="1" w:after="100" w:afterAutospacing="1" w:line="240" w:lineRule="auto"/>
      <w:jc w:val="left"/>
    </w:pPr>
    <w:rPr>
      <w:rFonts w:ascii="宋体" w:hAnsi="宋体" w:eastAsia="宋体" w:cs="宋体"/>
      <w:kern w:val="0"/>
      <w:sz w:val="24"/>
    </w:rPr>
  </w:style>
  <w:style w:type="paragraph" w:customStyle="1" w:styleId="514">
    <w:name w:val="font5"/>
    <w:basedOn w:val="1"/>
    <w:qFormat/>
    <w:uiPriority w:val="0"/>
    <w:pPr>
      <w:widowControl/>
      <w:spacing w:before="100" w:beforeAutospacing="1" w:after="100" w:afterAutospacing="1" w:line="240" w:lineRule="auto"/>
      <w:jc w:val="left"/>
    </w:pPr>
    <w:rPr>
      <w:rFonts w:ascii="微软雅黑" w:hAnsi="微软雅黑" w:eastAsia="微软雅黑" w:cs="宋体"/>
      <w:color w:val="000000"/>
      <w:kern w:val="0"/>
      <w:sz w:val="24"/>
    </w:rPr>
  </w:style>
  <w:style w:type="paragraph" w:customStyle="1" w:styleId="515">
    <w:name w:val="font6"/>
    <w:basedOn w:val="1"/>
    <w:qFormat/>
    <w:uiPriority w:val="0"/>
    <w:pPr>
      <w:widowControl/>
      <w:spacing w:before="100" w:beforeAutospacing="1" w:after="100" w:afterAutospacing="1" w:line="240" w:lineRule="auto"/>
      <w:jc w:val="left"/>
    </w:pPr>
    <w:rPr>
      <w:rFonts w:ascii="宋体" w:hAnsi="宋体" w:eastAsia="宋体" w:cs="宋体"/>
      <w:kern w:val="0"/>
      <w:sz w:val="18"/>
      <w:szCs w:val="18"/>
    </w:rPr>
  </w:style>
  <w:style w:type="paragraph" w:customStyle="1" w:styleId="516">
    <w:name w:val="font7"/>
    <w:basedOn w:val="1"/>
    <w:qFormat/>
    <w:uiPriority w:val="0"/>
    <w:pPr>
      <w:widowControl/>
      <w:spacing w:before="100" w:beforeAutospacing="1" w:after="100" w:afterAutospacing="1" w:line="240" w:lineRule="auto"/>
      <w:jc w:val="left"/>
    </w:pPr>
    <w:rPr>
      <w:rFonts w:ascii="宋体" w:hAnsi="宋体" w:eastAsia="宋体" w:cs="宋体"/>
      <w:kern w:val="0"/>
      <w:sz w:val="18"/>
      <w:szCs w:val="18"/>
    </w:rPr>
  </w:style>
  <w:style w:type="paragraph" w:customStyle="1" w:styleId="517">
    <w:name w:val="xl69"/>
    <w:basedOn w:val="1"/>
    <w:qFormat/>
    <w:uiPriority w:val="0"/>
    <w:pPr>
      <w:widowControl/>
      <w:shd w:val="clear" w:color="000000" w:fill="00B0F0"/>
      <w:spacing w:before="100" w:beforeAutospacing="1" w:after="100" w:afterAutospacing="1" w:line="240" w:lineRule="auto"/>
      <w:jc w:val="left"/>
    </w:pPr>
    <w:rPr>
      <w:rFonts w:ascii="宋体" w:hAnsi="宋体" w:eastAsia="宋体" w:cs="宋体"/>
      <w:kern w:val="0"/>
      <w:sz w:val="24"/>
    </w:rPr>
  </w:style>
  <w:style w:type="paragraph" w:customStyle="1" w:styleId="518">
    <w:name w:val="xl70"/>
    <w:basedOn w:val="1"/>
    <w:qFormat/>
    <w:uiPriority w:val="0"/>
    <w:pPr>
      <w:widowControl/>
      <w:spacing w:before="100" w:beforeAutospacing="1" w:after="100" w:afterAutospacing="1" w:line="240" w:lineRule="auto"/>
      <w:jc w:val="left"/>
    </w:pPr>
    <w:rPr>
      <w:rFonts w:ascii="宋体" w:hAnsi="宋体" w:eastAsia="宋体" w:cs="宋体"/>
      <w:b/>
      <w:bCs/>
      <w:kern w:val="0"/>
      <w:sz w:val="24"/>
    </w:rPr>
  </w:style>
  <w:style w:type="paragraph" w:customStyle="1" w:styleId="519">
    <w:name w:val="xl71"/>
    <w:basedOn w:val="1"/>
    <w:qFormat/>
    <w:uiPriority w:val="0"/>
    <w:pPr>
      <w:widowControl/>
      <w:spacing w:before="100" w:beforeAutospacing="1" w:after="100" w:afterAutospacing="1" w:line="240" w:lineRule="auto"/>
      <w:jc w:val="center"/>
    </w:pPr>
    <w:rPr>
      <w:rFonts w:ascii="宋体" w:hAnsi="宋体" w:eastAsia="宋体" w:cs="宋体"/>
      <w:kern w:val="0"/>
      <w:sz w:val="24"/>
    </w:rPr>
  </w:style>
  <w:style w:type="paragraph" w:customStyle="1" w:styleId="52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kern w:val="0"/>
      <w:sz w:val="20"/>
      <w:szCs w:val="20"/>
    </w:rPr>
  </w:style>
  <w:style w:type="paragraph" w:customStyle="1" w:styleId="521">
    <w:name w:val="xl73"/>
    <w:basedOn w:val="1"/>
    <w:qFormat/>
    <w:uiPriority w:val="0"/>
    <w:pPr>
      <w:widowControl/>
      <w:spacing w:before="100" w:beforeAutospacing="1" w:after="100" w:afterAutospacing="1" w:line="240" w:lineRule="auto"/>
      <w:jc w:val="left"/>
    </w:pPr>
    <w:rPr>
      <w:rFonts w:ascii="宋体" w:hAnsi="宋体" w:eastAsia="宋体" w:cs="宋体"/>
      <w:kern w:val="0"/>
      <w:sz w:val="24"/>
    </w:rPr>
  </w:style>
  <w:style w:type="paragraph" w:customStyle="1" w:styleId="52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eastAsia="宋体" w:cs="宋体"/>
      <w:b/>
      <w:bCs/>
      <w:kern w:val="0"/>
      <w:sz w:val="20"/>
      <w:szCs w:val="20"/>
    </w:rPr>
  </w:style>
  <w:style w:type="paragraph" w:customStyle="1" w:styleId="52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eastAsia="宋体" w:cs="宋体"/>
      <w:kern w:val="0"/>
      <w:sz w:val="20"/>
      <w:szCs w:val="20"/>
    </w:rPr>
  </w:style>
  <w:style w:type="paragraph" w:customStyle="1" w:styleId="52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eastAsia="宋体" w:cs="宋体"/>
      <w:kern w:val="0"/>
      <w:sz w:val="20"/>
      <w:szCs w:val="20"/>
    </w:rPr>
  </w:style>
  <w:style w:type="paragraph" w:customStyle="1" w:styleId="52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eastAsia="宋体" w:cs="宋体"/>
      <w:kern w:val="0"/>
      <w:sz w:val="20"/>
      <w:szCs w:val="20"/>
    </w:rPr>
  </w:style>
  <w:style w:type="paragraph" w:customStyle="1" w:styleId="52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b/>
      <w:bCs/>
      <w:kern w:val="0"/>
      <w:sz w:val="20"/>
      <w:szCs w:val="20"/>
    </w:rPr>
  </w:style>
  <w:style w:type="paragraph" w:customStyle="1" w:styleId="52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kern w:val="0"/>
      <w:sz w:val="20"/>
      <w:szCs w:val="20"/>
    </w:rPr>
  </w:style>
  <w:style w:type="paragraph" w:customStyle="1" w:styleId="52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eastAsia="宋体" w:cs="宋体"/>
      <w:b/>
      <w:bCs/>
      <w:kern w:val="0"/>
      <w:sz w:val="20"/>
      <w:szCs w:val="20"/>
    </w:rPr>
  </w:style>
  <w:style w:type="paragraph" w:customStyle="1" w:styleId="52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eastAsia="宋体" w:cs="宋体"/>
      <w:kern w:val="0"/>
      <w:sz w:val="20"/>
      <w:szCs w:val="20"/>
    </w:rPr>
  </w:style>
  <w:style w:type="paragraph" w:customStyle="1" w:styleId="53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kern w:val="0"/>
      <w:sz w:val="20"/>
      <w:szCs w:val="20"/>
    </w:rPr>
  </w:style>
  <w:style w:type="paragraph" w:customStyle="1" w:styleId="531">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eastAsia="宋体" w:cs="宋体"/>
      <w:color w:val="404040"/>
      <w:kern w:val="0"/>
      <w:sz w:val="20"/>
      <w:szCs w:val="20"/>
    </w:rPr>
  </w:style>
  <w:style w:type="paragraph" w:customStyle="1" w:styleId="532">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eastAsia="宋体" w:cs="宋体"/>
      <w:kern w:val="0"/>
      <w:sz w:val="20"/>
      <w:szCs w:val="20"/>
    </w:rPr>
  </w:style>
  <w:style w:type="paragraph" w:customStyle="1" w:styleId="53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left"/>
    </w:pPr>
    <w:rPr>
      <w:rFonts w:ascii="宋体" w:hAnsi="宋体" w:eastAsia="宋体" w:cs="宋体"/>
      <w:kern w:val="0"/>
      <w:sz w:val="20"/>
      <w:szCs w:val="20"/>
    </w:rPr>
  </w:style>
  <w:style w:type="paragraph" w:customStyle="1" w:styleId="534">
    <w:name w:val="Text"/>
    <w:basedOn w:val="1"/>
    <w:qFormat/>
    <w:uiPriority w:val="0"/>
    <w:pPr>
      <w:spacing w:line="240" w:lineRule="auto"/>
      <w:ind w:left="1021"/>
    </w:pPr>
    <w:rPr>
      <w:rFonts w:ascii="Arial" w:hAnsi="Arial" w:cs="Arial" w:eastAsiaTheme="minorEastAsia"/>
      <w:sz w:val="22"/>
      <w:szCs w:val="22"/>
    </w:rPr>
  </w:style>
  <w:style w:type="paragraph" w:customStyle="1" w:styleId="535">
    <w:name w:val="并列类小标题"/>
    <w:basedOn w:val="1"/>
    <w:next w:val="1"/>
    <w:qFormat/>
    <w:uiPriority w:val="0"/>
    <w:pPr>
      <w:numPr>
        <w:ilvl w:val="0"/>
        <w:numId w:val="29"/>
      </w:numPr>
      <w:spacing w:line="360" w:lineRule="auto"/>
      <w:ind w:left="0" w:firstLine="480" w:firstLineChars="200"/>
    </w:pPr>
    <w:rPr>
      <w:rFonts w:ascii="微软雅黑" w:hAnsi="微软雅黑" w:eastAsia="微软雅黑" w:cstheme="minorBidi"/>
      <w:b/>
      <w:sz w:val="24"/>
      <w:szCs w:val="22"/>
    </w:rPr>
  </w:style>
  <w:style w:type="paragraph" w:customStyle="1" w:styleId="536">
    <w:name w:val="正文段落格式ctrl+d"/>
    <w:basedOn w:val="1"/>
    <w:link w:val="537"/>
    <w:qFormat/>
    <w:uiPriority w:val="0"/>
    <w:pPr>
      <w:spacing w:line="360" w:lineRule="auto"/>
      <w:ind w:firstLine="480" w:firstLineChars="200"/>
    </w:pPr>
    <w:rPr>
      <w:rFonts w:eastAsia="宋体"/>
      <w:color w:val="000000"/>
      <w:sz w:val="24"/>
    </w:rPr>
  </w:style>
  <w:style w:type="character" w:customStyle="1" w:styleId="537">
    <w:name w:val="正文段落格式ctrl+d 字符"/>
    <w:link w:val="536"/>
    <w:qFormat/>
    <w:locked/>
    <w:uiPriority w:val="0"/>
    <w:rPr>
      <w:color w:val="000000"/>
      <w:kern w:val="2"/>
      <w:sz w:val="24"/>
      <w:szCs w:val="24"/>
    </w:rPr>
  </w:style>
  <w:style w:type="paragraph" w:customStyle="1" w:styleId="538">
    <w:name w:val="TOC 标题11"/>
    <w:basedOn w:val="3"/>
    <w:next w:val="1"/>
    <w:unhideWhenUsed/>
    <w:qFormat/>
    <w:uiPriority w:val="39"/>
    <w:pPr>
      <w:keepNext/>
      <w:keepLines/>
      <w:pageBreakBefore w:val="0"/>
      <w:widowControl/>
      <w:spacing w:before="240" w:after="0" w:line="259" w:lineRule="auto"/>
      <w:ind w:left="432" w:hanging="432"/>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539">
    <w:name w:val="宏文本 字符"/>
    <w:link w:val="2"/>
    <w:qFormat/>
    <w:uiPriority w:val="0"/>
    <w:rPr>
      <w:rFonts w:ascii="Courier New" w:hAnsi="Courier New" w:cs="Courier New"/>
      <w:kern w:val="2"/>
      <w:sz w:val="24"/>
      <w:szCs w:val="24"/>
    </w:rPr>
  </w:style>
  <w:style w:type="character" w:customStyle="1" w:styleId="540">
    <w:name w:val="正文缩进 字符"/>
    <w:link w:val="5"/>
    <w:qFormat/>
    <w:uiPriority w:val="0"/>
    <w:rPr>
      <w:rFonts w:eastAsia="仿宋"/>
      <w:kern w:val="2"/>
      <w:sz w:val="28"/>
    </w:rPr>
  </w:style>
  <w:style w:type="character" w:customStyle="1" w:styleId="541">
    <w:name w:val="表格文字 字符"/>
    <w:basedOn w:val="122"/>
    <w:link w:val="148"/>
    <w:qFormat/>
    <w:uiPriority w:val="0"/>
    <w:rPr>
      <w:rFonts w:eastAsia="仿宋" w:cs="宋体"/>
      <w:kern w:val="2"/>
      <w:sz w:val="24"/>
    </w:rPr>
  </w:style>
  <w:style w:type="paragraph" w:customStyle="1" w:styleId="542">
    <w:name w:val="Table Paragraph"/>
    <w:basedOn w:val="1"/>
    <w:semiHidden/>
    <w:qFormat/>
    <w:uiPriority w:val="0"/>
    <w:pPr>
      <w:autoSpaceDE w:val="0"/>
      <w:autoSpaceDN w:val="0"/>
      <w:adjustRightInd w:val="0"/>
      <w:spacing w:line="240" w:lineRule="auto"/>
      <w:jc w:val="left"/>
    </w:pPr>
    <w:rPr>
      <w:rFonts w:ascii="等线" w:hAnsi="等线" w:eastAsia="等线" w:cs="宋体"/>
      <w:kern w:val="0"/>
      <w:sz w:val="24"/>
    </w:rPr>
  </w:style>
  <w:style w:type="paragraph" w:customStyle="1" w:styleId="543">
    <w:name w:val="01正文"/>
    <w:basedOn w:val="1"/>
    <w:qFormat/>
    <w:uiPriority w:val="0"/>
    <w:pPr>
      <w:spacing w:line="360" w:lineRule="auto"/>
      <w:ind w:firstLine="454"/>
      <w:jc w:val="left"/>
    </w:pPr>
    <w:rPr>
      <w:rFonts w:asciiTheme="minorEastAsia" w:hAnsiTheme="minorEastAsia"/>
    </w:rPr>
  </w:style>
  <w:style w:type="paragraph" w:customStyle="1" w:styleId="544">
    <w:name w:val="修订2"/>
    <w:hidden/>
    <w:semiHidden/>
    <w:qFormat/>
    <w:uiPriority w:val="99"/>
    <w:rPr>
      <w:rFonts w:ascii="Times New Roman" w:hAnsi="Times New Roman" w:eastAsia="仿宋" w:cs="Times New Roman"/>
      <w:kern w:val="2"/>
      <w:sz w:val="28"/>
      <w:szCs w:val="24"/>
      <w:lang w:val="en-US" w:eastAsia="zh-CN" w:bidi="ar-SA"/>
    </w:rPr>
  </w:style>
  <w:style w:type="character" w:customStyle="1" w:styleId="545">
    <w:name w:val="未处理的提及2"/>
    <w:basedOn w:val="122"/>
    <w:semiHidden/>
    <w:unhideWhenUsed/>
    <w:qFormat/>
    <w:uiPriority w:val="99"/>
    <w:rPr>
      <w:color w:val="605E5C"/>
      <w:shd w:val="clear" w:color="auto" w:fill="E1DFDD"/>
    </w:rPr>
  </w:style>
  <w:style w:type="paragraph" w:customStyle="1" w:styleId="546">
    <w:name w:val="正文1"/>
    <w:qFormat/>
    <w:uiPriority w:val="0"/>
    <w:pPr>
      <w:spacing w:line="360" w:lineRule="auto"/>
      <w:ind w:firstLine="200" w:firstLineChars="200"/>
      <w:jc w:val="both"/>
    </w:pPr>
    <w:rPr>
      <w:rFonts w:ascii="Times New Roman" w:hAnsi="Times New Roman" w:eastAsia="宋体" w:cs="Times New Roman"/>
      <w:color w:val="000000"/>
      <w:kern w:val="2"/>
      <w:sz w:val="28"/>
      <w:szCs w:val="28"/>
      <w:lang w:val="en-US" w:eastAsia="zh-CN" w:bidi="ar-SA"/>
    </w:rPr>
  </w:style>
  <w:style w:type="paragraph" w:customStyle="1" w:styleId="547">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548">
    <w:name w:val="正文-样式7"/>
    <w:basedOn w:val="142"/>
    <w:qFormat/>
    <w:uiPriority w:val="0"/>
    <w:pPr>
      <w:spacing w:before="0" w:beforeLines="0" w:after="0" w:afterLines="0" w:line="360" w:lineRule="auto"/>
      <w:ind w:firstLine="200"/>
    </w:pPr>
    <w:rPr>
      <w:rFonts w:ascii="宋体" w:hAnsi="宋体" w:eastAsiaTheme="minorEastAsia"/>
      <w:color w:val="000000" w:themeColor="text1"/>
      <w:sz w:val="21"/>
      <w:szCs w:val="21"/>
      <w14:textFill>
        <w14:solidFill>
          <w14:schemeClr w14:val="tx1"/>
        </w14:solidFill>
      </w14:textFill>
    </w:rPr>
  </w:style>
  <w:style w:type="paragraph" w:customStyle="1" w:styleId="549">
    <w:name w:val="标题3-样式6"/>
    <w:basedOn w:val="550"/>
    <w:qFormat/>
    <w:uiPriority w:val="0"/>
    <w:pPr>
      <w:outlineLvl w:val="2"/>
    </w:pPr>
  </w:style>
  <w:style w:type="paragraph" w:customStyle="1" w:styleId="550">
    <w:name w:val="标题1-样式4"/>
    <w:basedOn w:val="1"/>
    <w:qFormat/>
    <w:uiPriority w:val="0"/>
    <w:pPr>
      <w:spacing w:line="360" w:lineRule="auto"/>
      <w:outlineLvl w:val="0"/>
    </w:pPr>
    <w:rPr>
      <w:rFonts w:eastAsia="宋体"/>
      <w:b/>
      <w:sz w:val="21"/>
    </w:rPr>
  </w:style>
  <w:style w:type="paragraph" w:customStyle="1" w:styleId="551">
    <w:name w:val="标题2-样式5"/>
    <w:basedOn w:val="550"/>
    <w:qFormat/>
    <w:uiPriority w:val="0"/>
    <w:pPr>
      <w:outlineLvl w:val="1"/>
    </w:pPr>
  </w:style>
  <w:style w:type="paragraph" w:customStyle="1" w:styleId="552">
    <w:name w:val="表格"/>
    <w:basedOn w:val="142"/>
    <w:qFormat/>
    <w:uiPriority w:val="0"/>
    <w:pPr>
      <w:spacing w:before="0" w:beforeLines="0" w:after="0" w:afterLines="0" w:line="240" w:lineRule="auto"/>
      <w:ind w:firstLine="0" w:firstLineChars="0"/>
      <w:jc w:val="center"/>
    </w:pPr>
    <w:rPr>
      <w:rFonts w:hAnsi="宋体" w:eastAsia="宋体"/>
      <w:color w:val="auto"/>
      <w:sz w:val="21"/>
      <w:szCs w:val="21"/>
    </w:rPr>
  </w:style>
  <w:style w:type="paragraph" w:customStyle="1" w:styleId="553">
    <w:name w:val="标题4-样式4"/>
    <w:basedOn w:val="7"/>
    <w:qFormat/>
    <w:uiPriority w:val="0"/>
    <w:pPr>
      <w:numPr>
        <w:ilvl w:val="0"/>
        <w:numId w:val="0"/>
      </w:numPr>
      <w:spacing w:line="360" w:lineRule="auto"/>
    </w:pPr>
    <w:rPr>
      <w:rFonts w:eastAsia="宋体"/>
      <w:sz w:val="21"/>
    </w:rPr>
  </w:style>
  <w:style w:type="character" w:customStyle="1" w:styleId="554">
    <w:name w:val="font21"/>
    <w:basedOn w:val="122"/>
    <w:qFormat/>
    <w:uiPriority w:val="0"/>
    <w:rPr>
      <w:rFonts w:hint="default" w:ascii="Times New Roman" w:hAnsi="Times New Roman" w:cs="Times New Roman"/>
      <w:color w:val="000000"/>
      <w:sz w:val="21"/>
      <w:szCs w:val="21"/>
      <w:u w:val="none"/>
    </w:rPr>
  </w:style>
  <w:style w:type="character" w:customStyle="1" w:styleId="555">
    <w:name w:val="font11"/>
    <w:basedOn w:val="122"/>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anjinyu\Desktop\&#21271;&#20140;&#36712;&#36947;&#20132;&#36890;3&#21495;&#32447;&#21487;&#30740;&#25991;&#20214;&#32534;&#21046;&#27169;&#26495;&#65288;A3&#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EBB238-300F-4B8D-91D2-47EC6F10A30D}">
  <ds:schemaRefs/>
</ds:datastoreItem>
</file>

<file path=docProps/app.xml><?xml version="1.0" encoding="utf-8"?>
<Properties xmlns="http://schemas.openxmlformats.org/officeDocument/2006/extended-properties" xmlns:vt="http://schemas.openxmlformats.org/officeDocument/2006/docPropsVTypes">
  <Template>北京轨道交通3号线可研文件编制模板（A3）.dot</Template>
  <Company>Lenovo</Company>
  <Pages>101</Pages>
  <Words>7741</Words>
  <Characters>9841</Characters>
  <Lines>732</Lines>
  <Paragraphs>2124</Paragraphs>
  <TotalTime>0</TotalTime>
  <ScaleCrop>false</ScaleCrop>
  <LinksUpToDate>false</LinksUpToDate>
  <CharactersWithSpaces>10341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2021-11-29T03:49:00Z</dcterms:created>
  <dc:creator>Liu GD</dc:creator>
  <cp:keywords>北京城建院</cp:keywords>
  <cp:lastModifiedBy>刘志勇</cp:lastModifiedBy>
  <cp:lastPrinted>2025-06-07T05:09:00Z</cp:lastPrinted>
  <dcterms:modified xsi:type="dcterms:W3CDTF">2025-09-05T00:45:54Z</dcterms:modified>
  <dc:title>长沙6号线智慧地铁</dc:title>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eyJoZGlkIjoiN2Y2YzBjODg5ZDVmNjJhMDY5ZjIwYzg2OTljZTliMzIiLCJ1c2VySWQiOiI5NDQ4MDcwOTcifQ==</vt:lpwstr>
  </property>
  <property fmtid="{D5CDD505-2E9C-101B-9397-08002B2CF9AE}" pid="3" name="KSOProductBuildVer">
    <vt:lpwstr>2052-12.1.0.22529</vt:lpwstr>
  </property>
  <property fmtid="{D5CDD505-2E9C-101B-9397-08002B2CF9AE}" pid="4" name="ICV">
    <vt:lpwstr>902679AEAAC9464A98F9117698DEBD21_13</vt:lpwstr>
  </property>
</Properties>
</file>